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rFonts w:ascii="Arial" w:hAnsi="Arial"/>
          <w:b w:val="1"/>
          <w:bCs w:val="1"/>
          <w:outline w:val="0"/>
          <w:color w:val="222222"/>
          <w:sz w:val="28"/>
          <w:szCs w:val="28"/>
          <w:shd w:val="clear" w:color="auto" w:fill="ffffff"/>
          <w:rtl w:val="0"/>
          <w14:textFill>
            <w14:solidFill>
              <w14:srgbClr w14:val="222222"/>
            </w14:solidFill>
          </w14:textFill>
        </w:rPr>
      </w:pPr>
    </w:p>
    <w:p>
      <w:pPr>
        <w:pStyle w:val="Default"/>
        <w:bidi w:val="0"/>
        <w:spacing w:before="0"/>
        <w:ind w:left="0" w:right="0" w:firstLine="0"/>
        <w:jc w:val="left"/>
        <w:rPr>
          <w:rFonts w:ascii="Arial" w:cs="Arial" w:hAnsi="Arial" w:eastAsia="Arial"/>
          <w:b w:val="1"/>
          <w:bCs w:val="1"/>
          <w:outline w:val="0"/>
          <w:color w:val="222222"/>
          <w:sz w:val="28"/>
          <w:szCs w:val="28"/>
          <w:shd w:val="clear" w:color="auto" w:fill="ffffff"/>
          <w:rtl w:val="0"/>
          <w14:textFill>
            <w14:solidFill>
              <w14:srgbClr w14:val="222222"/>
            </w14:solidFill>
          </w14:textFill>
        </w:rPr>
      </w:pPr>
      <w:r>
        <w:rPr>
          <w:rFonts w:ascii="Arial" w:hAnsi="Arial"/>
          <w:b w:val="1"/>
          <w:bCs w:val="1"/>
          <w:outline w:val="0"/>
          <w:color w:val="222222"/>
          <w:sz w:val="28"/>
          <w:szCs w:val="28"/>
          <w:shd w:val="clear" w:color="auto" w:fill="ffffff"/>
          <w:rtl w:val="0"/>
          <w:lang w:val="en-US"/>
          <w14:textFill>
            <w14:solidFill>
              <w14:srgbClr w14:val="222222"/>
            </w14:solidFill>
          </w14:textFill>
        </w:rPr>
        <w:t>Regularized ReLU Neural Network for Self-explanatory Credit Scoring Model</w:t>
      </w:r>
    </w:p>
    <w:p>
      <w:pPr>
        <w:pStyle w:val="Default"/>
        <w:bidi w:val="0"/>
        <w:spacing w:before="0"/>
        <w:ind w:left="0" w:right="0" w:firstLine="0"/>
        <w:jc w:val="left"/>
        <w:rPr>
          <w:rFonts w:ascii="Arial" w:cs="Arial" w:hAnsi="Arial" w:eastAsia="Arial"/>
          <w:outline w:val="0"/>
          <w:color w:val="222222"/>
          <w:sz w:val="28"/>
          <w:szCs w:val="28"/>
          <w:shd w:val="clear" w:color="auto" w:fill="ffffff"/>
          <w:rtl w:val="0"/>
          <w14:textFill>
            <w14:solidFill>
              <w14:srgbClr w14:val="222222"/>
            </w14:solidFill>
          </w14:textFill>
        </w:rPr>
      </w:pPr>
    </w:p>
    <w:p>
      <w:pPr>
        <w:pStyle w:val="Default"/>
        <w:bidi w:val="0"/>
        <w:spacing w:before="0"/>
        <w:ind w:left="0" w:right="0" w:firstLine="0"/>
        <w:jc w:val="left"/>
        <w:rPr>
          <w:rFonts w:ascii="Arial" w:cs="Arial" w:hAnsi="Arial" w:eastAsia="Arial"/>
          <w:outline w:val="0"/>
          <w:color w:val="222222"/>
          <w:sz w:val="28"/>
          <w:szCs w:val="28"/>
          <w:shd w:val="clear" w:color="auto" w:fill="ffffff"/>
          <w:rtl w:val="0"/>
          <w14:textFill>
            <w14:solidFill>
              <w14:srgbClr w14:val="222222"/>
            </w14:solidFill>
          </w14:textFill>
        </w:rPr>
      </w:pPr>
      <w:r>
        <w:rPr>
          <w:rFonts w:ascii="Arial" w:hAnsi="Arial"/>
          <w:outline w:val="0"/>
          <w:color w:val="222222"/>
          <w:sz w:val="28"/>
          <w:szCs w:val="28"/>
          <w:shd w:val="clear" w:color="auto" w:fill="ffffff"/>
          <w:rtl w:val="0"/>
          <w:lang w:val="en-US"/>
          <w14:textFill>
            <w14:solidFill>
              <w14:srgbClr w14:val="222222"/>
            </w14:solidFill>
          </w14:textFill>
        </w:rPr>
        <w:t xml:space="preserve">Neural networks (NNs) are known for their flexibility </w:t>
      </w:r>
      <w:r>
        <w:rPr>
          <w:rFonts w:ascii="Arial" w:hAnsi="Arial" w:hint="default"/>
          <w:outline w:val="0"/>
          <w:color w:val="222222"/>
          <w:sz w:val="28"/>
          <w:szCs w:val="28"/>
          <w:shd w:val="clear" w:color="auto" w:fill="ffffff"/>
          <w:rtl w:val="0"/>
          <w14:textFill>
            <w14:solidFill>
              <w14:srgbClr w14:val="222222"/>
            </w14:solidFill>
          </w14:textFill>
        </w:rPr>
        <w:t xml:space="preserve">– </w:t>
      </w:r>
      <w:r>
        <w:rPr>
          <w:rFonts w:ascii="Arial" w:hAnsi="Arial"/>
          <w:outline w:val="0"/>
          <w:color w:val="222222"/>
          <w:sz w:val="28"/>
          <w:szCs w:val="28"/>
          <w:shd w:val="clear" w:color="auto" w:fill="ffffff"/>
          <w:rtl w:val="0"/>
          <w:lang w:val="en-US"/>
          <w14:textFill>
            <w14:solidFill>
              <w14:srgbClr w14:val="222222"/>
            </w14:solidFill>
          </w14:textFill>
        </w:rPr>
        <w:t>the ability to model any functional forms. But same as other black box models, the flexibility comes with the cost of high model complexity. As a consequence, the NNs are hard to interpret. Recent works has revealed that the feedforward NNs with ReLU activation function can be equivalently expressed as a set of local linear models (LLMs). However, the number of LLMs can be large if the NN is deep and wide. L1 regularization (or other forms of regularizations) is introduced to strike a balance between the model complexity and performance. With fewer LLMs, the ReLU-NNs can be viewed as self-explainable models, and therefore can be used in areas where require high explainability, i.e. credit scoring.</w:t>
      </w:r>
    </w:p>
    <w:p>
      <w:pPr>
        <w:pStyle w:val="Default"/>
        <w:bidi w:val="0"/>
        <w:spacing w:before="0"/>
        <w:ind w:left="0" w:right="0" w:firstLine="0"/>
        <w:jc w:val="left"/>
        <w:rPr>
          <w:rFonts w:ascii="Arial" w:cs="Arial" w:hAnsi="Arial" w:eastAsia="Arial"/>
          <w:outline w:val="0"/>
          <w:color w:val="222222"/>
          <w:sz w:val="28"/>
          <w:szCs w:val="28"/>
          <w:shd w:val="clear" w:color="auto" w:fill="ffffff"/>
          <w:rtl w:val="0"/>
          <w14:textFill>
            <w14:solidFill>
              <w14:srgbClr w14:val="222222"/>
            </w14:solidFill>
          </w14:textFill>
        </w:rPr>
      </w:pPr>
    </w:p>
    <w:p>
      <w:pPr>
        <w:pStyle w:val="Default"/>
        <w:bidi w:val="0"/>
        <w:spacing w:before="0"/>
        <w:ind w:left="0" w:right="0" w:firstLine="0"/>
        <w:jc w:val="left"/>
        <w:rPr>
          <w:rFonts w:ascii="Arial" w:cs="Arial" w:hAnsi="Arial" w:eastAsia="Arial"/>
          <w:outline w:val="0"/>
          <w:color w:val="222222"/>
          <w:sz w:val="28"/>
          <w:szCs w:val="28"/>
          <w:shd w:val="clear" w:color="auto" w:fill="ffffff"/>
          <w:rtl w:val="0"/>
          <w14:textFill>
            <w14:solidFill>
              <w14:srgbClr w14:val="222222"/>
            </w14:solidFill>
          </w14:textFill>
        </w:rPr>
      </w:pPr>
      <w:r>
        <w:rPr>
          <w:rFonts w:ascii="Arial" w:hAnsi="Arial"/>
          <w:outline w:val="0"/>
          <w:color w:val="222222"/>
          <w:sz w:val="28"/>
          <w:szCs w:val="28"/>
          <w:shd w:val="clear" w:color="auto" w:fill="ffffff"/>
          <w:rtl w:val="0"/>
          <w:lang w:val="en-US"/>
          <w14:textFill>
            <w14:solidFill>
              <w14:srgbClr w14:val="222222"/>
            </w14:solidFill>
          </w14:textFill>
        </w:rPr>
        <w:t>Traditionally, credit scoring relies on generalized linear models (e.g., logistic regression) and segmentation to build multiple scorecards on the development population. The resulted models do not have competing performance comparing to most of the recent modeling techniques (XGBoost, NNs), but is still adopted due to its high explainability and palatability. Our approach showcases how the state-of-the-art neural network modeling can be used in credit risk management fields. An example of ReLU-NN model based on real credit application data and method to derive the adverse action reason codes are provided.</w:t>
      </w:r>
    </w:p>
    <w:p>
      <w:pPr>
        <w:pStyle w:val="Default"/>
        <w:bidi w:val="0"/>
        <w:spacing w:before="0"/>
        <w:ind w:left="0" w:right="0" w:firstLine="0"/>
        <w:jc w:val="left"/>
        <w:rPr>
          <w:rtl w:val="0"/>
        </w:rPr>
      </w:pPr>
      <w:r>
        <w:rPr>
          <w:rFonts w:ascii="Arial" w:hAnsi="Arial" w:hint="default"/>
          <w:outline w:val="0"/>
          <w:color w:val="222222"/>
          <w:sz w:val="28"/>
          <w:szCs w:val="28"/>
          <w:shd w:val="clear" w:color="auto" w:fill="ffffff"/>
          <w:rtl w:val="0"/>
          <w14:textFill>
            <w14:solidFill>
              <w14:srgbClr w14:val="222222"/>
            </w14:solidFill>
          </w14:textFill>
        </w:rPr>
        <w: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744F0-09CD-4272-80C5-BF037D902D00}"/>
</file>

<file path=customXml/itemProps2.xml><?xml version="1.0" encoding="utf-8"?>
<ds:datastoreItem xmlns:ds="http://schemas.openxmlformats.org/officeDocument/2006/customXml" ds:itemID="{130C2FE3-108E-4124-AA53-64F67159B497}"/>
</file>

<file path=customXml/itemProps3.xml><?xml version="1.0" encoding="utf-8"?>
<ds:datastoreItem xmlns:ds="http://schemas.openxmlformats.org/officeDocument/2006/customXml" ds:itemID="{96E054A5-5783-423A-A117-CDB4660C638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