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10275077819824" w:lineRule="auto"/>
        <w:ind w:left="333.0879211425781" w:right="324.4580078125" w:firstLine="0"/>
        <w:jc w:val="center"/>
        <w:rPr>
          <w:rFonts w:ascii="Arial" w:cs="Arial" w:eastAsia="Arial" w:hAnsi="Arial"/>
          <w:b w:val="0"/>
          <w:i w:val="1"/>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41.32500076293945"/>
          <w:szCs w:val="41.32500076293945"/>
          <w:u w:val="none"/>
          <w:shd w:fill="auto" w:val="clear"/>
          <w:vertAlign w:val="baseline"/>
          <w:rtl w:val="0"/>
        </w:rPr>
        <w:t xml:space="preserve">Measuring the Default Risk of Small Business Loans: Improved Credit Risk Prediction using Deep Learning</w:t>
      </w:r>
      <w:r w:rsidDel="00000000" w:rsidR="00000000" w:rsidRPr="00000000">
        <w:rPr>
          <w:rFonts w:ascii="Arial Unicode MS" w:cs="Arial Unicode MS" w:eastAsia="Arial Unicode MS" w:hAnsi="Arial Unicode MS"/>
          <w:b w:val="0"/>
          <w:i w:val="1"/>
          <w:smallCaps w:val="0"/>
          <w:strike w:val="0"/>
          <w:color w:val="000000"/>
          <w:sz w:val="47.82066663106283"/>
          <w:szCs w:val="47.8206666310628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8.692399978637695"/>
          <w:szCs w:val="28.69239997863769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59912109375" w:line="240" w:lineRule="auto"/>
        <w:ind w:left="0" w:right="0" w:firstLine="0"/>
        <w:jc w:val="center"/>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Yiannis Dendramis Elias Tzavalis Aikaterini Cheimarioti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1572265625" w:line="240" w:lineRule="auto"/>
        <w:ind w:left="0" w:right="0" w:firstLine="0"/>
        <w:jc w:val="center"/>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Abstract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21044921875" w:line="329.86804962158203" w:lineRule="auto"/>
        <w:ind w:left="582.662353515625" w:right="431.0186767578125" w:firstLine="329.4618225097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paper suggests a multilayer artificial neural network (ANN) method, known as deep learning ANN, to predict the probability of default (PD) within the survival analysis framework. Deep learning ANN structures consider hidden interconnec tions among the covariates determining the PD which can lead to prediction im provements, compared to parametric statistical methods. The application of the method to a large data set of small business loans demonstrates prediction gains, relative to the logit and skewed logit models. These gains mainly concern short term prediction horizons and are more apparent for the type I misclassification error of loan default events, which has important implications for credit risk man agement. To identify the effects of covariates on the PD, we propose a bootstrap sampling method. This enable us to obtain the distribution of PD changes over dis crete covariate shifts, while controlling for interactions among them. We find that the covariates with the most important influence on PD include the delinquent amount of a loan over its total balance, the payments and the balance of the loan over its installment, as well as the delinquency buckets of a loan. The duration of a loan is also found to be an important factor of default risk.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6834716796875" w:line="240" w:lineRule="auto"/>
        <w:ind w:left="900.7786560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JEL classification: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G12, E21, E27, E43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3814697265625" w:line="329.86764907836914" w:lineRule="auto"/>
        <w:ind w:left="582.2261047363281" w:right="581.329345703125" w:firstLine="328.807067871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Keywords: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probability of default, artificial neural networks, feedforward neural networks, skewed logit, bootstrap methods.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2393798828125" w:line="238.335599899292" w:lineRule="auto"/>
        <w:ind w:left="0" w:right="-5.52001953125" w:firstLine="270.794525146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Dendramis: Department of Economics, Athens University of Economics and Business, email: yden dramis@aueb.gr, Tzavalis: Department of Economics, Athens University of Economics and Business, email: etzavalis@aueb.gr, corresponding author, Cheimarioti: Alpha Bank, Greece, Credit Risk Method ologies Division, email: aikaterini.cheimarioti@alpha.gr. The views presented in the paper are those of the authors and do not reflect official views of their institutions.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626922607422"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p>
    <w:sectPr>
      <w:pgSz w:h="16820" w:w="11900" w:orient="portrait"/>
      <w:pgMar w:bottom="819.5598602294922" w:top="1700.7874015748032" w:left="1421.7036437988281" w:right="1415.659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7CDB8-1F3B-4B51-A05B-14955885DDA4}"/>
</file>

<file path=customXml/itemProps2.xml><?xml version="1.0" encoding="utf-8"?>
<ds:datastoreItem xmlns:ds="http://schemas.openxmlformats.org/officeDocument/2006/customXml" ds:itemID="{5DA2BF12-F04C-46D6-B463-645D19B41D7D}"/>
</file>

<file path=customXml/itemProps3.xml><?xml version="1.0" encoding="utf-8"?>
<ds:datastoreItem xmlns:ds="http://schemas.openxmlformats.org/officeDocument/2006/customXml" ds:itemID="{C56DF777-3C75-4D03-877F-6A2CDA8D8BD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