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F9BD0" w14:textId="77777777" w:rsidR="00460AFF" w:rsidRPr="00495DE9" w:rsidRDefault="00886791" w:rsidP="00495DE9">
      <w:pPr>
        <w:pStyle w:val="Heading1"/>
        <w:rPr>
          <w:sz w:val="28"/>
          <w:szCs w:val="28"/>
        </w:rPr>
      </w:pPr>
      <w:r w:rsidRPr="00495DE9">
        <w:rPr>
          <w:rFonts w:eastAsia="Cambria"/>
          <w:sz w:val="28"/>
          <w:szCs w:val="28"/>
        </w:rPr>
        <w:t>OPTIMAL PATH PLANNING FOR CONSUMER CREDIT SCORE IMPROVEMENT</w:t>
      </w:r>
    </w:p>
    <w:p w14:paraId="1BB96749" w14:textId="77777777" w:rsidR="00460AFF" w:rsidRDefault="00886791">
      <w:pPr>
        <w:spacing w:after="187"/>
        <w:ind w:left="266" w:hanging="10"/>
        <w:jc w:val="center"/>
      </w:pPr>
      <w:r>
        <w:t>STEPHEN MILLER, PHD, LEWIS JORDAN, PHD, MATTHEW TURNER, PHD, ALLAN JOSHUA, MARK DAY, PHD</w:t>
      </w:r>
    </w:p>
    <w:p w14:paraId="32BC2493" w14:textId="77777777" w:rsidR="00460AFF" w:rsidRDefault="00886791">
      <w:pPr>
        <w:spacing w:after="304" w:line="259" w:lineRule="auto"/>
        <w:ind w:left="0" w:right="0" w:firstLine="0"/>
        <w:jc w:val="center"/>
      </w:pPr>
      <w:r>
        <w:rPr>
          <w:i/>
        </w:rPr>
        <w:t>Equifax Data Science</w:t>
      </w:r>
    </w:p>
    <w:p w14:paraId="76D3F90F" w14:textId="77777777" w:rsidR="00460AFF" w:rsidRDefault="00886791">
      <w:pPr>
        <w:spacing w:after="771" w:line="254" w:lineRule="auto"/>
        <w:ind w:left="727" w:right="702" w:hanging="10"/>
      </w:pPr>
      <w:r>
        <w:rPr>
          <w:rFonts w:ascii="Calibri" w:eastAsia="Calibri" w:hAnsi="Calibri" w:cs="Calibri"/>
          <w:sz w:val="18"/>
        </w:rPr>
        <w:t xml:space="preserve">Abstract. </w:t>
      </w:r>
      <w:r>
        <w:rPr>
          <w:sz w:val="18"/>
        </w:rPr>
        <w:t xml:space="preserve">There is an increasing expectation on financial institutions utilizing consumer data for credit risk </w:t>
      </w:r>
      <w:proofErr w:type="spellStart"/>
      <w:r>
        <w:rPr>
          <w:sz w:val="18"/>
        </w:rPr>
        <w:t>modeling</w:t>
      </w:r>
      <w:proofErr w:type="spellEnd"/>
      <w:r>
        <w:rPr>
          <w:sz w:val="18"/>
        </w:rPr>
        <w:t xml:space="preserve"> to explain how automated systems make decisions. However, explanations of credit risk models do not necessarily translate into the ordered sequenc</w:t>
      </w:r>
      <w:r>
        <w:rPr>
          <w:sz w:val="18"/>
        </w:rPr>
        <w:t xml:space="preserve">e of actions a consumer could take to improve their score to a desired value. Further, the use of machine learning models complicates transforming model explanations into actionable consumer </w:t>
      </w:r>
      <w:proofErr w:type="spellStart"/>
      <w:r>
        <w:rPr>
          <w:sz w:val="18"/>
        </w:rPr>
        <w:t>behavior</w:t>
      </w:r>
      <w:proofErr w:type="spellEnd"/>
      <w:r>
        <w:rPr>
          <w:sz w:val="18"/>
        </w:rPr>
        <w:t xml:space="preserve"> due to the inherent nonlinearity and interactions presen</w:t>
      </w:r>
      <w:r>
        <w:rPr>
          <w:sz w:val="18"/>
        </w:rPr>
        <w:t>t in these models. In this work, we describe a patent-pending method for constructing an optimal path that explicitly navigates an individual consumer through the model feature space from their current score to a score of their choosing. Our methodology au</w:t>
      </w:r>
      <w:r>
        <w:rPr>
          <w:sz w:val="18"/>
        </w:rPr>
        <w:t>tomatically generates the ordered actions a consumer could take to incrementally reach their desired score.</w:t>
      </w:r>
    </w:p>
    <w:p w14:paraId="3D06B69A" w14:textId="77777777" w:rsidR="00460AFF" w:rsidRDefault="00886791">
      <w:pPr>
        <w:spacing w:after="0" w:line="259" w:lineRule="auto"/>
        <w:ind w:left="10" w:right="0" w:hanging="10"/>
        <w:jc w:val="center"/>
      </w:pPr>
      <w:r>
        <w:rPr>
          <w:rFonts w:ascii="Calibri" w:eastAsia="Calibri" w:hAnsi="Calibri" w:cs="Calibri"/>
        </w:rPr>
        <w:t>Contents</w:t>
      </w:r>
    </w:p>
    <w:p w14:paraId="4597F90D" w14:textId="77777777" w:rsidR="00460AFF" w:rsidRDefault="00886791">
      <w:pPr>
        <w:numPr>
          <w:ilvl w:val="0"/>
          <w:numId w:val="1"/>
        </w:numPr>
        <w:spacing w:after="160" w:line="259" w:lineRule="auto"/>
        <w:ind w:right="0" w:hanging="388"/>
        <w:jc w:val="left"/>
      </w:pPr>
      <w:r>
        <w:t>Introduction</w:t>
      </w:r>
      <w:r>
        <w:tab/>
        <w:t>1</w:t>
      </w:r>
    </w:p>
    <w:p w14:paraId="723A5005" w14:textId="77777777" w:rsidR="00460AFF" w:rsidRDefault="00886791">
      <w:pPr>
        <w:numPr>
          <w:ilvl w:val="1"/>
          <w:numId w:val="1"/>
        </w:numPr>
        <w:spacing w:after="160" w:line="259" w:lineRule="auto"/>
        <w:ind w:right="0" w:hanging="558"/>
        <w:jc w:val="left"/>
      </w:pPr>
      <w:r>
        <w:t>Simple Illustrated Example</w:t>
      </w:r>
      <w:r>
        <w:tab/>
        <w:t>2</w:t>
      </w:r>
    </w:p>
    <w:p w14:paraId="421CCA06" w14:textId="77777777" w:rsidR="00460AFF" w:rsidRDefault="00886791">
      <w:pPr>
        <w:numPr>
          <w:ilvl w:val="0"/>
          <w:numId w:val="1"/>
        </w:numPr>
        <w:spacing w:after="160" w:line="259" w:lineRule="auto"/>
        <w:ind w:right="0" w:hanging="388"/>
        <w:jc w:val="left"/>
      </w:pPr>
      <w:r>
        <w:t>Defining a Metric on the Feature Space</w:t>
      </w:r>
      <w:r>
        <w:tab/>
        <w:t>3</w:t>
      </w:r>
    </w:p>
    <w:p w14:paraId="657F2BE8" w14:textId="77777777" w:rsidR="00460AFF" w:rsidRDefault="00886791">
      <w:pPr>
        <w:numPr>
          <w:ilvl w:val="0"/>
          <w:numId w:val="1"/>
        </w:numPr>
        <w:spacing w:after="160" w:line="259" w:lineRule="auto"/>
        <w:ind w:right="0" w:hanging="388"/>
        <w:jc w:val="left"/>
      </w:pPr>
      <w:r>
        <w:t>Optimal Path in the Feature Space</w:t>
      </w:r>
      <w:r>
        <w:tab/>
        <w:t>5</w:t>
      </w:r>
    </w:p>
    <w:p w14:paraId="5AC45A6A" w14:textId="77777777" w:rsidR="00460AFF" w:rsidRDefault="00886791">
      <w:pPr>
        <w:numPr>
          <w:ilvl w:val="1"/>
          <w:numId w:val="1"/>
        </w:numPr>
        <w:spacing w:after="160" w:line="259" w:lineRule="auto"/>
        <w:ind w:right="0" w:hanging="558"/>
        <w:jc w:val="left"/>
      </w:pPr>
      <w:r>
        <w:t>Optimal Single Ste</w:t>
      </w:r>
      <w:r>
        <w:t>p Algorithm</w:t>
      </w:r>
      <w:r>
        <w:tab/>
        <w:t>6</w:t>
      </w:r>
    </w:p>
    <w:p w14:paraId="39CD8D5E" w14:textId="77777777" w:rsidR="00460AFF" w:rsidRDefault="00886791">
      <w:pPr>
        <w:numPr>
          <w:ilvl w:val="1"/>
          <w:numId w:val="1"/>
        </w:numPr>
        <w:spacing w:after="160" w:line="259" w:lineRule="auto"/>
        <w:ind w:right="0" w:hanging="558"/>
        <w:jc w:val="left"/>
      </w:pPr>
      <w:r>
        <w:t>Optimal Path Algorithm</w:t>
      </w:r>
      <w:r>
        <w:tab/>
        <w:t>7</w:t>
      </w:r>
    </w:p>
    <w:p w14:paraId="1DB52877" w14:textId="77777777" w:rsidR="00460AFF" w:rsidRDefault="00886791">
      <w:pPr>
        <w:numPr>
          <w:ilvl w:val="1"/>
          <w:numId w:val="1"/>
        </w:numPr>
        <w:spacing w:after="160" w:line="259" w:lineRule="auto"/>
        <w:ind w:right="0" w:hanging="558"/>
        <w:jc w:val="left"/>
      </w:pPr>
      <w:r>
        <w:t>Examples</w:t>
      </w:r>
      <w:r>
        <w:tab/>
        <w:t>7</w:t>
      </w:r>
    </w:p>
    <w:p w14:paraId="49DE247D" w14:textId="77777777" w:rsidR="00460AFF" w:rsidRDefault="00886791">
      <w:pPr>
        <w:numPr>
          <w:ilvl w:val="0"/>
          <w:numId w:val="1"/>
        </w:numPr>
        <w:spacing w:after="160" w:line="259" w:lineRule="auto"/>
        <w:ind w:right="0" w:hanging="388"/>
        <w:jc w:val="left"/>
      </w:pPr>
      <w:r>
        <w:t>Conclusion</w:t>
      </w:r>
      <w:r>
        <w:tab/>
        <w:t>10</w:t>
      </w:r>
    </w:p>
    <w:p w14:paraId="6A2A9F48" w14:textId="77777777" w:rsidR="00460AFF" w:rsidRDefault="00886791">
      <w:pPr>
        <w:spacing w:after="102" w:line="259" w:lineRule="auto"/>
        <w:ind w:left="10" w:right="0" w:hanging="10"/>
        <w:jc w:val="center"/>
      </w:pPr>
      <w:r>
        <w:t xml:space="preserve">1. </w:t>
      </w:r>
      <w:r>
        <w:rPr>
          <w:rFonts w:ascii="Calibri" w:eastAsia="Calibri" w:hAnsi="Calibri" w:cs="Calibri"/>
        </w:rPr>
        <w:t>Introduction</w:t>
      </w:r>
    </w:p>
    <w:p w14:paraId="002D7F20" w14:textId="77777777" w:rsidR="00460AFF" w:rsidRDefault="00886791">
      <w:pPr>
        <w:ind w:left="-15" w:right="0"/>
      </w:pPr>
      <w:r>
        <w:t xml:space="preserve">Credit risk scores can be a confusing and cloudy subject for consumers. Consumers are often shocked to learn that “a” credit score was used in a financial decision instead of “the” credit score. One measure of financial health is a credit risk score. Even </w:t>
      </w:r>
      <w:r>
        <w:t>though there are many different credit risk scores for different applications, they are each a measure of risk on a financial product and a proxy indication of financial health. Therefore, it can be useful and beneficial to consumers to learn more about th</w:t>
      </w:r>
      <w:r>
        <w:t>e profiles of consumers that are assessed as a safe and sound financial risk. In addition, providing a personalized path to a consumer to reach a certain risk level profile adds transparency and understanding to credit risk models.</w:t>
      </w:r>
    </w:p>
    <w:p w14:paraId="6C72ACAA" w14:textId="77777777" w:rsidR="00460AFF" w:rsidRDefault="00886791">
      <w:pPr>
        <w:ind w:left="-15" w:right="0"/>
      </w:pPr>
      <w:r>
        <w:t>Suppose a consumer desir</w:t>
      </w:r>
      <w:r>
        <w:t>es to reach a given credit score threshold. This threshold may be an approval threshold or a threshold that qualifies for a better pricing offer. What actions should</w:t>
      </w:r>
    </w:p>
    <w:p w14:paraId="0656DEE3" w14:textId="77777777" w:rsidR="00460AFF" w:rsidRDefault="00886791">
      <w:pPr>
        <w:spacing w:after="112" w:line="259" w:lineRule="auto"/>
        <w:ind w:left="0" w:right="0" w:firstLine="0"/>
        <w:jc w:val="left"/>
      </w:pPr>
      <w:r>
        <w:rPr>
          <w:rFonts w:ascii="Calibri" w:eastAsia="Calibri" w:hAnsi="Calibri" w:cs="Calibri"/>
          <w:noProof/>
        </w:rPr>
        <mc:AlternateContent>
          <mc:Choice Requires="wpg">
            <w:drawing>
              <wp:inline distT="0" distB="0" distL="0" distR="0" wp14:anchorId="367D2C0E" wp14:editId="47C57B54">
                <wp:extent cx="759155" cy="5055"/>
                <wp:effectExtent l="0" t="0" r="0" b="0"/>
                <wp:docPr id="11705" name="Group 117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155" cy="5055"/>
                          <a:chOff x="0" y="0"/>
                          <a:chExt cx="759155" cy="5055"/>
                        </a:xfrm>
                      </wpg:grpSpPr>
                      <wps:wsp>
                        <wps:cNvPr id="46" name="Shape 46"/>
                        <wps:cNvSpPr/>
                        <wps:spPr>
                          <a:xfrm>
                            <a:off x="0" y="0"/>
                            <a:ext cx="759155" cy="0"/>
                          </a:xfrm>
                          <a:custGeom>
                            <a:avLst/>
                            <a:gdLst/>
                            <a:ahLst/>
                            <a:cxnLst/>
                            <a:rect l="0" t="0" r="0" b="0"/>
                            <a:pathLst>
                              <a:path w="759155">
                                <a:moveTo>
                                  <a:pt x="0" y="0"/>
                                </a:moveTo>
                                <a:lnTo>
                                  <a:pt x="75915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B8853F" id="Group 11705" o:spid="_x0000_s1026" alt="&quot;&quot;" style="width:59.8pt;height:.4pt;mso-position-horizontal-relative:char;mso-position-vertical-relative:line" coordsize="75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">
                <v:shape id="Shape 46" o:spid="_x0000_s1027" style="position:absolute;width:7591;height:0;visibility:visible;mso-wrap-style:square;v-text-anchor:top" coordsize="759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" path="m,l759155,e" filled="f" strokeweight=".14042mm">
                  <v:stroke miterlimit="83231f" joinstyle="miter"/>
                  <v:path arrowok="t" textboxrect="0,0,759155,0"/>
                </v:shape>
                <w10:anchorlock/>
              </v:group>
            </w:pict>
          </mc:Fallback>
        </mc:AlternateContent>
      </w:r>
    </w:p>
    <w:p w14:paraId="2D57DC43" w14:textId="1EA9B0A3" w:rsidR="00495DE9" w:rsidRPr="00495DE9" w:rsidRDefault="00886791" w:rsidP="00495DE9">
      <w:pPr>
        <w:spacing w:after="9" w:line="259" w:lineRule="auto"/>
        <w:ind w:left="25" w:right="0" w:firstLine="0"/>
        <w:rPr>
          <w:sz w:val="18"/>
        </w:rPr>
      </w:pPr>
      <w:r>
        <w:rPr>
          <w:i/>
          <w:sz w:val="18"/>
        </w:rPr>
        <w:t>E-mail address</w:t>
      </w:r>
      <w:r>
        <w:rPr>
          <w:sz w:val="18"/>
        </w:rPr>
        <w:t xml:space="preserve">: </w:t>
      </w:r>
      <w:r>
        <w:rPr>
          <w:rFonts w:ascii="Calibri" w:eastAsia="Calibri" w:hAnsi="Calibri" w:cs="Calibri"/>
          <w:sz w:val="18"/>
        </w:rPr>
        <w:t xml:space="preserve">stephen.miller@equifax.com, lewis.jordan@equifax.com, </w:t>
      </w:r>
      <w:hyperlink r:id="rId7" w:history="1">
        <w:r w:rsidR="00495DE9" w:rsidRPr="002F726C">
          <w:rPr>
            <w:rStyle w:val="Hyperlink"/>
            <w:rFonts w:ascii="Calibri" w:eastAsia="Calibri" w:hAnsi="Calibri" w:cs="Calibri"/>
            <w:sz w:val="18"/>
          </w:rPr>
          <w:t>matthew.turner@equifax.com</w:t>
        </w:r>
      </w:hyperlink>
      <w:r>
        <w:rPr>
          <w:sz w:val="18"/>
        </w:rPr>
        <w:t>.</w:t>
      </w:r>
      <w:r w:rsidR="00495DE9">
        <w:rPr>
          <w:sz w:val="18"/>
        </w:rPr>
        <w:t xml:space="preserve"> </w:t>
      </w:r>
    </w:p>
    <w:p w14:paraId="29AFA9BD" w14:textId="77777777" w:rsidR="00460AFF" w:rsidRDefault="00886791">
      <w:pPr>
        <w:spacing w:line="254" w:lineRule="auto"/>
        <w:ind w:left="234" w:right="702" w:hanging="10"/>
      </w:pPr>
      <w:r>
        <w:rPr>
          <w:i/>
          <w:sz w:val="18"/>
        </w:rPr>
        <w:t>Date</w:t>
      </w:r>
      <w:r>
        <w:rPr>
          <w:sz w:val="18"/>
        </w:rPr>
        <w:t>: August 8, 2019.</w:t>
      </w:r>
    </w:p>
    <w:p w14:paraId="530F8FDA" w14:textId="2B5C8BEF" w:rsidR="00460AFF" w:rsidRDefault="00886791">
      <w:pPr>
        <w:tabs>
          <w:tab w:val="center" w:pos="1601"/>
          <w:tab w:val="center" w:pos="4629"/>
        </w:tabs>
        <w:spacing w:after="0" w:line="259" w:lineRule="auto"/>
        <w:ind w:left="0" w:right="0" w:firstLine="0"/>
        <w:jc w:val="left"/>
      </w:pPr>
      <w:r>
        <w:rPr>
          <w:rFonts w:ascii="Calibri" w:eastAsia="Calibri" w:hAnsi="Calibri" w:cs="Calibri"/>
        </w:rPr>
        <w:tab/>
      </w:r>
      <w:r>
        <w:rPr>
          <w:i/>
          <w:sz w:val="18"/>
        </w:rPr>
        <w:t>All work herein is patent pending.</w:t>
      </w:r>
      <w:r>
        <w:rPr>
          <w:i/>
          <w:sz w:val="18"/>
        </w:rPr>
        <w:tab/>
      </w:r>
      <w:r>
        <w:rPr>
          <w:noProof/>
        </w:rPr>
        <w:drawing>
          <wp:inline distT="0" distB="0" distL="0" distR="0" wp14:anchorId="296298E8" wp14:editId="6374CD5B">
            <wp:extent cx="109728" cy="112776"/>
            <wp:effectExtent l="0" t="0" r="0" b="0"/>
            <wp:docPr id="15386" name="Picture 15386" descr="Copyright"/>
            <wp:cNvGraphicFramePr/>
            <a:graphic xmlns:a="http://schemas.openxmlformats.org/drawingml/2006/main">
              <a:graphicData uri="http://schemas.openxmlformats.org/drawingml/2006/picture">
                <pic:pic xmlns:pic="http://schemas.openxmlformats.org/drawingml/2006/picture">
                  <pic:nvPicPr>
                    <pic:cNvPr id="15386" name="Picture 15386" descr="Copyright"/>
                    <pic:cNvPicPr/>
                  </pic:nvPicPr>
                  <pic:blipFill>
                    <a:blip r:embed="rId8"/>
                    <a:stretch>
                      <a:fillRect/>
                    </a:stretch>
                  </pic:blipFill>
                  <pic:spPr>
                    <a:xfrm>
                      <a:off x="0" y="0"/>
                      <a:ext cx="109728" cy="112776"/>
                    </a:xfrm>
                    <a:prstGeom prst="rect">
                      <a:avLst/>
                    </a:prstGeom>
                  </pic:spPr>
                </pic:pic>
              </a:graphicData>
            </a:graphic>
          </wp:inline>
        </w:drawing>
      </w:r>
      <w:r>
        <w:rPr>
          <w:i/>
          <w:sz w:val="18"/>
        </w:rPr>
        <w:t>2019 Equifax Inc., all rights reserved.</w:t>
      </w:r>
    </w:p>
    <w:p w14:paraId="170E7005" w14:textId="77777777" w:rsidR="00460AFF" w:rsidRDefault="00886791">
      <w:pPr>
        <w:ind w:left="-15" w:right="0" w:firstLine="0"/>
      </w:pPr>
      <w:r>
        <w:lastRenderedPageBreak/>
        <w:t xml:space="preserve">a consumer </w:t>
      </w:r>
      <w:proofErr w:type="gramStart"/>
      <w:r>
        <w:t>take</w:t>
      </w:r>
      <w:proofErr w:type="gramEnd"/>
      <w:r>
        <w:t xml:space="preserve"> to reach this threshold? There are many products in the market today that simulate credit score “What if” scenarios, intended to pr</w:t>
      </w:r>
      <w:r>
        <w:t>ovide the consumer with how their score would change given an action taken by the consumer (e.g. “What if I apply for a new credit card”). However, these products do not provide a path to reach a user specified score, nor do they provide the sequence of ac</w:t>
      </w:r>
      <w:r>
        <w:t>tions that are necessarily achievable in monthly increments. There are also products in the market that provide generic advice or guidance to credit scores such as “keep your credit utilization below 30%” or “don’t take out a mortgage more than 3X your inc</w:t>
      </w:r>
      <w:r>
        <w:t xml:space="preserve">ome”. Examples could also be profile analysis of consumers around a certain score range such as “typical consumers with a </w:t>
      </w:r>
      <w:proofErr w:type="gramStart"/>
      <w:r>
        <w:t>750 credit</w:t>
      </w:r>
      <w:proofErr w:type="gramEnd"/>
      <w:r>
        <w:t xml:space="preserve"> score have 4 revolving credit lines with a $1000 balance and 5% utilization”. These products only provide generic guidance </w:t>
      </w:r>
      <w:r>
        <w:t xml:space="preserve">and may not be feasible for individual consumers. More importantly, none of the </w:t>
      </w:r>
      <w:proofErr w:type="gramStart"/>
      <w:r>
        <w:t>aforementioned solutions</w:t>
      </w:r>
      <w:proofErr w:type="gramEnd"/>
      <w:r>
        <w:t xml:space="preserve"> provide a path for consumers with little to no credit history to establish a healthy credit report.</w:t>
      </w:r>
    </w:p>
    <w:p w14:paraId="1FEC30C8" w14:textId="77777777" w:rsidR="00460AFF" w:rsidRDefault="00886791">
      <w:pPr>
        <w:ind w:left="-15" w:right="0"/>
      </w:pPr>
      <w:r>
        <w:t xml:space="preserve">Suppose a consumer is currently at a location </w:t>
      </w:r>
      <w:r>
        <w:rPr>
          <w:i/>
        </w:rPr>
        <w:t xml:space="preserve">~x </w:t>
      </w:r>
      <w:r>
        <w:t>wi</w:t>
      </w:r>
      <w:r>
        <w:t xml:space="preserve">th credit score </w:t>
      </w:r>
      <w:r>
        <w:rPr>
          <w:i/>
        </w:rPr>
        <w:t>f</w:t>
      </w:r>
      <w:r>
        <w:t>(</w:t>
      </w:r>
      <w:r>
        <w:rPr>
          <w:i/>
        </w:rPr>
        <w:t>~x</w:t>
      </w:r>
      <w:r>
        <w:t xml:space="preserve">) and is trying to navigate to a new point </w:t>
      </w:r>
      <w:r>
        <w:rPr>
          <w:i/>
        </w:rPr>
        <w:t xml:space="preserve">~x </w:t>
      </w:r>
      <w:r>
        <w:t xml:space="preserve">+ </w:t>
      </w:r>
      <w:r>
        <w:rPr>
          <w:i/>
          <w:sz w:val="34"/>
          <w:vertAlign w:val="superscript"/>
        </w:rPr>
        <w:t>~</w:t>
      </w:r>
      <w:r>
        <w:rPr>
          <w:i/>
        </w:rPr>
        <w:t xml:space="preserve">δ </w:t>
      </w:r>
      <w:r>
        <w:t xml:space="preserve">that reaches a score threshold </w:t>
      </w:r>
      <w:r>
        <w:rPr>
          <w:i/>
        </w:rPr>
        <w:t>f</w:t>
      </w:r>
      <w:r>
        <w:t>(</w:t>
      </w:r>
      <w:r>
        <w:rPr>
          <w:i/>
        </w:rPr>
        <w:t xml:space="preserve">~x </w:t>
      </w:r>
      <w:r>
        <w:t xml:space="preserve">+ </w:t>
      </w:r>
      <w:r>
        <w:rPr>
          <w:i/>
          <w:sz w:val="34"/>
          <w:vertAlign w:val="superscript"/>
        </w:rPr>
        <w:t>~</w:t>
      </w:r>
      <w:r>
        <w:rPr>
          <w:i/>
        </w:rPr>
        <w:t>δ</w:t>
      </w:r>
      <w:r>
        <w:t xml:space="preserve">) </w:t>
      </w:r>
      <w:r>
        <w:t xml:space="preserve">≥ </w:t>
      </w:r>
      <w:r>
        <w:rPr>
          <w:i/>
        </w:rPr>
        <w:t>C</w:t>
      </w:r>
      <w:r>
        <w:t xml:space="preserve">. There are immediate technical and esoteric challenges with this problem. First and foremost, there are likely an infinite number of solutions </w:t>
      </w:r>
      <w:r>
        <w:rPr>
          <w:i/>
          <w:sz w:val="34"/>
          <w:vertAlign w:val="superscript"/>
        </w:rPr>
        <w:t>~</w:t>
      </w:r>
      <w:r>
        <w:rPr>
          <w:i/>
        </w:rPr>
        <w:t xml:space="preserve">δ </w:t>
      </w:r>
      <w:r>
        <w:t xml:space="preserve">that meet this objective (Figure 1). Second, not all solutions are created equal. Consider an attribute in a </w:t>
      </w:r>
      <w:r>
        <w:t xml:space="preserve">credit risk model </w:t>
      </w:r>
      <w:r>
        <w:rPr>
          <w:i/>
        </w:rPr>
        <w:t>Number of accounts past due in the last 12 months</w:t>
      </w:r>
      <w:r>
        <w:t>. A consumer that recently had an account go past due will have at minimum 12 months for this delinquency to roll off their 12-month credit file. Therefore, solutions that tell a consumer t</w:t>
      </w:r>
      <w:r>
        <w:t xml:space="preserve">o reduce the number of past due occurrences are not immediately useful. What are immediate feasible actions that a consumer could take to impact their credit score and financial health while they eventually wait for the past due occurrences to roll </w:t>
      </w:r>
      <w:proofErr w:type="gramStart"/>
      <w:r>
        <w:t>off of</w:t>
      </w:r>
      <w:proofErr w:type="gramEnd"/>
      <w:r>
        <w:t xml:space="preserve"> </w:t>
      </w:r>
      <w:r>
        <w:t>the credit report? Among these feasible actions, which ones will have the largest impact?</w:t>
      </w:r>
    </w:p>
    <w:p w14:paraId="43182EA4" w14:textId="77777777" w:rsidR="00460AFF" w:rsidRDefault="00886791">
      <w:pPr>
        <w:ind w:left="-15" w:right="0"/>
      </w:pPr>
      <w:r>
        <w:t>In the US, regulation requires that the “key factors” that impact a credit score must be returned with the credit score. These factors are the items on the credit rep</w:t>
      </w:r>
      <w:r>
        <w:t>ort that have the largest negative impact to the score. As indicated above, in many instances these key factors are not immediately actionable to the consumer. Therefore, there is a potential big gap between what is causing the biggest negative impact to a</w:t>
      </w:r>
      <w:r>
        <w:t xml:space="preserve"> credit score versus what is most actionable on a credit score.</w:t>
      </w:r>
    </w:p>
    <w:p w14:paraId="11C21615" w14:textId="77777777" w:rsidR="00460AFF" w:rsidRDefault="00886791">
      <w:pPr>
        <w:ind w:left="-15" w:right="0"/>
      </w:pPr>
      <w:r>
        <w:t xml:space="preserve">The above discussion illustrates important points. It is beneficial to the consumer to provide a path to sound financial risk. The path best serves its purpose if it is immediately actionable </w:t>
      </w:r>
      <w:r>
        <w:t xml:space="preserve">to the consumer in monthly increments and if the path is feasible for a particular consumer (Figure 2). The following work illustrates a novel and inventive approach to “Optimal Path Planning </w:t>
      </w:r>
      <w:proofErr w:type="gramStart"/>
      <w:r>
        <w:t>For</w:t>
      </w:r>
      <w:proofErr w:type="gramEnd"/>
      <w:r>
        <w:t xml:space="preserve"> Consumer Credit Score Improvement”. In it, we will detail an</w:t>
      </w:r>
      <w:r>
        <w:t xml:space="preserve"> algorithm that provides monthly feasible actions tailored to a specific consumer to reach a desired score threshold.</w:t>
      </w:r>
    </w:p>
    <w:p w14:paraId="5DD5E890" w14:textId="77777777" w:rsidR="00460AFF" w:rsidRDefault="00886791">
      <w:pPr>
        <w:spacing w:after="300"/>
        <w:ind w:left="-15" w:right="0"/>
      </w:pPr>
      <w:r>
        <w:t xml:space="preserve">The biggest challenge therefore is to properly define the space of feasible actions for a given consumer </w:t>
      </w:r>
      <w:proofErr w:type="gramStart"/>
      <w:r>
        <w:t>so as to</w:t>
      </w:r>
      <w:proofErr w:type="gramEnd"/>
      <w:r>
        <w:t xml:space="preserve"> overcome the pitfalls of</w:t>
      </w:r>
      <w:r>
        <w:t xml:space="preserve"> trial-and-error credit score simulators or generic advice based on profile analysis. Applications of this algorithm include defining optimal paths for improvement and in explaining complex scoring surfaces, especially those generated by machine learning a</w:t>
      </w:r>
      <w:r>
        <w:t xml:space="preserve">lgorithms capturing non-linearities and interactions. The algorithm can also work in reverse - what are the actions a consumer should </w:t>
      </w:r>
      <w:r>
        <w:rPr>
          <w:i/>
        </w:rPr>
        <w:t xml:space="preserve">not </w:t>
      </w:r>
      <w:r>
        <w:t>take that would negatively impact their financial health. This is easily achieved by finding the optimal path to reach</w:t>
      </w:r>
      <w:r>
        <w:t xml:space="preserve"> a credit score threshold that is below their current credit score.</w:t>
      </w:r>
    </w:p>
    <w:p w14:paraId="7247BA58" w14:textId="77777777" w:rsidR="00460AFF" w:rsidRDefault="00886791">
      <w:pPr>
        <w:ind w:left="-15" w:right="0" w:firstLine="0"/>
      </w:pPr>
      <w:r>
        <w:t xml:space="preserve">1.1. </w:t>
      </w:r>
      <w:r>
        <w:rPr>
          <w:b/>
        </w:rPr>
        <w:t xml:space="preserve">Simple Illustrated Example. </w:t>
      </w:r>
      <w:r>
        <w:t xml:space="preserve">As an example, Figure (3) represents a hypothetical credit risk model where </w:t>
      </w:r>
      <w:r>
        <w:rPr>
          <w:i/>
        </w:rPr>
        <w:t xml:space="preserve">Score </w:t>
      </w:r>
      <w:r>
        <w:t xml:space="preserve">= </w:t>
      </w:r>
      <w:r>
        <w:rPr>
          <w:i/>
        </w:rPr>
        <w:t>f</w:t>
      </w:r>
      <w:r>
        <w:t>(</w:t>
      </w:r>
      <w:r>
        <w:rPr>
          <w:i/>
        </w:rPr>
        <w:t>x</w:t>
      </w:r>
      <w:proofErr w:type="gramStart"/>
      <w:r>
        <w:rPr>
          <w:vertAlign w:val="subscript"/>
        </w:rPr>
        <w:t>1</w:t>
      </w:r>
      <w:r>
        <w:rPr>
          <w:i/>
        </w:rPr>
        <w:t>,x</w:t>
      </w:r>
      <w:proofErr w:type="gramEnd"/>
      <w:r>
        <w:rPr>
          <w:vertAlign w:val="subscript"/>
        </w:rPr>
        <w:t>2</w:t>
      </w:r>
      <w:r>
        <w:t xml:space="preserve">). The “black” dot indicates the consumer’s current score, and the </w:t>
      </w:r>
      <w:proofErr w:type="spellStart"/>
      <w:r>
        <w:t>cutoff</w:t>
      </w:r>
      <w:proofErr w:type="spellEnd"/>
      <w:r>
        <w:t xml:space="preserve"> score (horizontal plane) at </w:t>
      </w:r>
      <w:r>
        <w:rPr>
          <w:i/>
        </w:rPr>
        <w:t xml:space="preserve">Score </w:t>
      </w:r>
      <w:r>
        <w:t>= 0</w:t>
      </w:r>
      <w:r>
        <w:rPr>
          <w:i/>
        </w:rPr>
        <w:t>.</w:t>
      </w:r>
      <w:r>
        <w:t xml:space="preserve">28 represents the minimum score required to be approved for a loan. In traditional risk score models, the reasons for denying this </w:t>
      </w:r>
      <w:proofErr w:type="gramStart"/>
      <w:r>
        <w:t>consumers</w:t>
      </w:r>
      <w:proofErr w:type="gramEnd"/>
      <w:r>
        <w:t xml:space="preserve"> loa</w:t>
      </w:r>
      <w:r>
        <w:t xml:space="preserve">n would rank order </w:t>
      </w:r>
      <w:r>
        <w:rPr>
          <w:i/>
        </w:rPr>
        <w:lastRenderedPageBreak/>
        <w:t>x</w:t>
      </w:r>
      <w:r>
        <w:rPr>
          <w:vertAlign w:val="subscript"/>
        </w:rPr>
        <w:t xml:space="preserve">1 </w:t>
      </w:r>
      <w:r>
        <w:t xml:space="preserve">as the first most important reason, and then </w:t>
      </w:r>
      <w:r>
        <w:rPr>
          <w:i/>
        </w:rPr>
        <w:t>x</w:t>
      </w:r>
      <w:r>
        <w:rPr>
          <w:vertAlign w:val="subscript"/>
        </w:rPr>
        <w:t xml:space="preserve">2 </w:t>
      </w:r>
      <w:r>
        <w:t>as the second most important reason. No other information outside of this is typically given to the consumer. Thus, the consumer has no way on knowing or determining which actions they s</w:t>
      </w:r>
      <w:r>
        <w:t>hould take to improve their score in</w:t>
      </w:r>
    </w:p>
    <w:p w14:paraId="44C4C099" w14:textId="77777777" w:rsidR="00460AFF" w:rsidRDefault="00886791">
      <w:pPr>
        <w:spacing w:after="271" w:line="259" w:lineRule="auto"/>
        <w:ind w:left="1395" w:right="0" w:firstLine="0"/>
        <w:jc w:val="left"/>
      </w:pPr>
      <w:r>
        <w:rPr>
          <w:noProof/>
        </w:rPr>
        <w:drawing>
          <wp:inline distT="0" distB="0" distL="0" distR="0" wp14:anchorId="3A769756" wp14:editId="6EAEE03E">
            <wp:extent cx="4171950" cy="3786188"/>
            <wp:effectExtent l="0" t="0" r="0" b="0"/>
            <wp:docPr id="205" name="Picture 205" descr="Plot of Score = f(x1,x2). The horizontal plane at Score = 0.70 represents the minimum score required to be approved for a loan. The black dot indicates the consumer’s current score. The red dots are examples where the horizontal plane intersects the scoring surface."/>
            <wp:cNvGraphicFramePr/>
            <a:graphic xmlns:a="http://schemas.openxmlformats.org/drawingml/2006/main">
              <a:graphicData uri="http://schemas.openxmlformats.org/drawingml/2006/picture">
                <pic:pic xmlns:pic="http://schemas.openxmlformats.org/drawingml/2006/picture">
                  <pic:nvPicPr>
                    <pic:cNvPr id="205" name="Picture 205" descr="Plot of Score = f(x1,x2). The horizontal plane at Score = 0.70 represents the minimum score required to be approved for a loan. The black dot indicates the consumer’s current score. The red dots are examples where the horizontal plane intersects the scoring surface."/>
                    <pic:cNvPicPr/>
                  </pic:nvPicPr>
                  <pic:blipFill>
                    <a:blip r:embed="rId9"/>
                    <a:stretch>
                      <a:fillRect/>
                    </a:stretch>
                  </pic:blipFill>
                  <pic:spPr>
                    <a:xfrm>
                      <a:off x="0" y="0"/>
                      <a:ext cx="4171950" cy="3786188"/>
                    </a:xfrm>
                    <a:prstGeom prst="rect">
                      <a:avLst/>
                    </a:prstGeom>
                  </pic:spPr>
                </pic:pic>
              </a:graphicData>
            </a:graphic>
          </wp:inline>
        </w:drawing>
      </w:r>
    </w:p>
    <w:p w14:paraId="4B1D8686" w14:textId="77777777" w:rsidR="00460AFF" w:rsidRDefault="00886791">
      <w:pPr>
        <w:spacing w:after="515"/>
        <w:ind w:left="717" w:right="717" w:firstLine="0"/>
      </w:pPr>
      <w:r>
        <w:rPr>
          <w:rFonts w:ascii="Calibri" w:eastAsia="Calibri" w:hAnsi="Calibri" w:cs="Calibri"/>
        </w:rPr>
        <w:t xml:space="preserve">Figure 1. </w:t>
      </w:r>
      <w:r>
        <w:t xml:space="preserve">Plot of </w:t>
      </w:r>
      <w:r>
        <w:rPr>
          <w:i/>
        </w:rPr>
        <w:t xml:space="preserve">Score </w:t>
      </w:r>
      <w:r>
        <w:t xml:space="preserve">= </w:t>
      </w:r>
      <w:r>
        <w:rPr>
          <w:i/>
        </w:rPr>
        <w:t>f</w:t>
      </w:r>
      <w:r>
        <w:t>(</w:t>
      </w:r>
      <w:r>
        <w:rPr>
          <w:i/>
        </w:rPr>
        <w:t>x</w:t>
      </w:r>
      <w:proofErr w:type="gramStart"/>
      <w:r>
        <w:rPr>
          <w:vertAlign w:val="subscript"/>
        </w:rPr>
        <w:t>1</w:t>
      </w:r>
      <w:r>
        <w:rPr>
          <w:i/>
        </w:rPr>
        <w:t>,x</w:t>
      </w:r>
      <w:proofErr w:type="gramEnd"/>
      <w:r>
        <w:rPr>
          <w:vertAlign w:val="subscript"/>
        </w:rPr>
        <w:t>2</w:t>
      </w:r>
      <w:r>
        <w:t xml:space="preserve">). The horizontal plane at </w:t>
      </w:r>
      <w:r>
        <w:rPr>
          <w:i/>
        </w:rPr>
        <w:t xml:space="preserve">Score </w:t>
      </w:r>
      <w:r>
        <w:t>= 0</w:t>
      </w:r>
      <w:r>
        <w:rPr>
          <w:i/>
        </w:rPr>
        <w:t>.</w:t>
      </w:r>
      <w:r>
        <w:t>70 represents the minimum score required to be approved for a loan. The black dot indicates the consumer’s current score. The red dots are examples</w:t>
      </w:r>
      <w:r>
        <w:t xml:space="preserve"> where the horizontal plane intersects the scoring surface.</w:t>
      </w:r>
    </w:p>
    <w:p w14:paraId="46BE8D75" w14:textId="77777777" w:rsidR="00460AFF" w:rsidRDefault="00886791">
      <w:pPr>
        <w:ind w:left="-15" w:right="0" w:firstLine="0"/>
      </w:pPr>
      <w:r>
        <w:t xml:space="preserve">the quickest and most efficient manner. The consumer would probably think that </w:t>
      </w:r>
      <w:r>
        <w:rPr>
          <w:i/>
        </w:rPr>
        <w:t>x</w:t>
      </w:r>
      <w:r>
        <w:rPr>
          <w:vertAlign w:val="subscript"/>
        </w:rPr>
        <w:t xml:space="preserve">1 </w:t>
      </w:r>
      <w:r>
        <w:t xml:space="preserve">is what they should focus on changing since that was the “primary” reason for rejection. However, upon examination of Figure (3), </w:t>
      </w:r>
      <w:proofErr w:type="gramStart"/>
      <w:r>
        <w:t>it can be seen that changing</w:t>
      </w:r>
      <w:proofErr w:type="gramEnd"/>
      <w:r>
        <w:t xml:space="preserve"> either </w:t>
      </w:r>
      <w:r>
        <w:rPr>
          <w:i/>
        </w:rPr>
        <w:t>x</w:t>
      </w:r>
      <w:r>
        <w:rPr>
          <w:vertAlign w:val="subscript"/>
        </w:rPr>
        <w:t xml:space="preserve">1 </w:t>
      </w:r>
      <w:r>
        <w:t xml:space="preserve">or </w:t>
      </w:r>
      <w:r>
        <w:rPr>
          <w:i/>
        </w:rPr>
        <w:t>x</w:t>
      </w:r>
      <w:r>
        <w:rPr>
          <w:vertAlign w:val="subscript"/>
        </w:rPr>
        <w:t xml:space="preserve">2 </w:t>
      </w:r>
      <w:r>
        <w:t>will lead to a 0.28 score. If it is easier for the consumer to take actions to ch</w:t>
      </w:r>
      <w:r>
        <w:t xml:space="preserve">ange </w:t>
      </w:r>
      <w:r>
        <w:rPr>
          <w:i/>
        </w:rPr>
        <w:t>x</w:t>
      </w:r>
      <w:r>
        <w:rPr>
          <w:vertAlign w:val="subscript"/>
        </w:rPr>
        <w:t>2</w:t>
      </w:r>
      <w:r>
        <w:t xml:space="preserve">, then obviously </w:t>
      </w:r>
      <w:r>
        <w:rPr>
          <w:i/>
        </w:rPr>
        <w:t>x</w:t>
      </w:r>
      <w:r>
        <w:rPr>
          <w:vertAlign w:val="subscript"/>
        </w:rPr>
        <w:t xml:space="preserve">2 </w:t>
      </w:r>
      <w:r>
        <w:t>should be considered the “primary” feature.</w:t>
      </w:r>
    </w:p>
    <w:p w14:paraId="1745A5FC" w14:textId="77777777" w:rsidR="00460AFF" w:rsidRDefault="00886791">
      <w:pPr>
        <w:spacing w:after="524"/>
        <w:ind w:left="-15" w:right="0"/>
      </w:pPr>
      <w:r>
        <w:t xml:space="preserve">It should be </w:t>
      </w:r>
      <w:proofErr w:type="gramStart"/>
      <w:r>
        <w:t>noted,</w:t>
      </w:r>
      <w:proofErr w:type="gramEnd"/>
      <w:r>
        <w:t xml:space="preserve"> that this same logic holds for credit risk models with </w:t>
      </w:r>
      <w:r>
        <w:rPr>
          <w:i/>
        </w:rPr>
        <w:t xml:space="preserve">p </w:t>
      </w:r>
      <w:r>
        <w:t xml:space="preserve">features in the model. As discussed above, except under very strict </w:t>
      </w:r>
      <w:proofErr w:type="spellStart"/>
      <w:r>
        <w:t>modeling</w:t>
      </w:r>
      <w:proofErr w:type="spellEnd"/>
      <w:r>
        <w:t xml:space="preserve"> assumptions, the reason codes p</w:t>
      </w:r>
      <w:r>
        <w:t>rovided do not necessarily help the consumer take actions to improve their score in the most efficient way to achieve the minimum approval score for the loan applied for. That is, the way reason codes are typically generated by credit scoring systems in no</w:t>
      </w:r>
      <w:r>
        <w:t xml:space="preserve"> way guarantees that if the consumer acts first on the “primary” reason code, their score will improve in the quickest and most efficient manner.</w:t>
      </w:r>
    </w:p>
    <w:p w14:paraId="65FD7E46" w14:textId="77777777" w:rsidR="00460AFF" w:rsidRDefault="00886791">
      <w:pPr>
        <w:spacing w:after="102" w:line="259" w:lineRule="auto"/>
        <w:ind w:left="10" w:right="0" w:hanging="10"/>
        <w:jc w:val="center"/>
      </w:pPr>
      <w:r>
        <w:t xml:space="preserve">2. </w:t>
      </w:r>
      <w:r>
        <w:rPr>
          <w:rFonts w:ascii="Calibri" w:eastAsia="Calibri" w:hAnsi="Calibri" w:cs="Calibri"/>
        </w:rPr>
        <w:t>Defining a Metric on the Feature Space</w:t>
      </w:r>
    </w:p>
    <w:p w14:paraId="48E23971" w14:textId="77777777" w:rsidR="00460AFF" w:rsidRDefault="00886791">
      <w:pPr>
        <w:ind w:left="-15" w:right="0"/>
      </w:pPr>
      <w:r>
        <w:lastRenderedPageBreak/>
        <w:t>To have a meaningful definition of shortest path or closest point in</w:t>
      </w:r>
      <w:r>
        <w:t xml:space="preserve"> the attribute/feature space, we need a metric that captures what movements in the feature space are feasible for a consumer. It is not enough to observe another consumer with an alternative feature vector - that does not necessarily constitute a feasible </w:t>
      </w:r>
      <w:r>
        <w:t xml:space="preserve">destination point. For example, the addition of more credit lines to a consumer’s report may not be feasible. Or, the movement could require removal of a bankruptcy, which are not readily removed after first appearing on </w:t>
      </w:r>
      <w:proofErr w:type="spellStart"/>
      <w:proofErr w:type="gramStart"/>
      <w:r>
        <w:t>ones</w:t>
      </w:r>
      <w:proofErr w:type="spellEnd"/>
      <w:proofErr w:type="gramEnd"/>
      <w:r>
        <w:t xml:space="preserve"> credit report.</w:t>
      </w:r>
    </w:p>
    <w:p w14:paraId="29C2811D" w14:textId="77777777" w:rsidR="00460AFF" w:rsidRDefault="00886791">
      <w:pPr>
        <w:spacing w:after="271" w:line="259" w:lineRule="auto"/>
        <w:ind w:left="1335" w:right="0" w:firstLine="0"/>
        <w:jc w:val="left"/>
      </w:pPr>
      <w:r>
        <w:rPr>
          <w:noProof/>
        </w:rPr>
        <w:drawing>
          <wp:inline distT="0" distB="0" distL="0" distR="0" wp14:anchorId="608B4C45" wp14:editId="75477585">
            <wp:extent cx="4248150" cy="3786188"/>
            <wp:effectExtent l="0" t="0" r="0" b="0"/>
            <wp:docPr id="270" name="Picture 270" descr="Plot of Score = f(x1,x2). The cutoff score (horizontal plane) Score = 0.70 represents the minimum score required to be approved for a loan. The black dot indicates the consumer’s current score. The red dot represent the point where the cutoff surface intersects the scoring surface. The solid black line is the optimal path from the consumer’s score to the cutoff score."/>
            <wp:cNvGraphicFramePr/>
            <a:graphic xmlns:a="http://schemas.openxmlformats.org/drawingml/2006/main">
              <a:graphicData uri="http://schemas.openxmlformats.org/drawingml/2006/picture">
                <pic:pic xmlns:pic="http://schemas.openxmlformats.org/drawingml/2006/picture">
                  <pic:nvPicPr>
                    <pic:cNvPr id="270" name="Picture 270" descr="Plot of Score = f(x1,x2). The cutoff score (horizontal plane) Score = 0.70 represents the minimum score required to be approved for a loan. The black dot indicates the consumer’s current score. The red dot represent the point where the cutoff surface intersects the scoring surface. The solid black line is the optimal path from the consumer’s score to the cutoff score."/>
                    <pic:cNvPicPr/>
                  </pic:nvPicPr>
                  <pic:blipFill>
                    <a:blip r:embed="rId10"/>
                    <a:stretch>
                      <a:fillRect/>
                    </a:stretch>
                  </pic:blipFill>
                  <pic:spPr>
                    <a:xfrm>
                      <a:off x="0" y="0"/>
                      <a:ext cx="4248150" cy="3786188"/>
                    </a:xfrm>
                    <a:prstGeom prst="rect">
                      <a:avLst/>
                    </a:prstGeom>
                  </pic:spPr>
                </pic:pic>
              </a:graphicData>
            </a:graphic>
          </wp:inline>
        </w:drawing>
      </w:r>
    </w:p>
    <w:p w14:paraId="25DFFFF1" w14:textId="77777777" w:rsidR="00460AFF" w:rsidRDefault="00886791">
      <w:pPr>
        <w:spacing w:after="342"/>
        <w:ind w:left="717" w:right="717" w:firstLine="0"/>
      </w:pPr>
      <w:r>
        <w:rPr>
          <w:rFonts w:ascii="Calibri" w:eastAsia="Calibri" w:hAnsi="Calibri" w:cs="Calibri"/>
        </w:rPr>
        <w:t xml:space="preserve">Figure 2. </w:t>
      </w:r>
      <w:r>
        <w:t>Plo</w:t>
      </w:r>
      <w:r>
        <w:t xml:space="preserve">t of </w:t>
      </w:r>
      <w:r>
        <w:rPr>
          <w:i/>
        </w:rPr>
        <w:t xml:space="preserve">Score </w:t>
      </w:r>
      <w:r>
        <w:t xml:space="preserve">= </w:t>
      </w:r>
      <w:r>
        <w:rPr>
          <w:i/>
        </w:rPr>
        <w:t>f</w:t>
      </w:r>
      <w:r>
        <w:t>(</w:t>
      </w:r>
      <w:r>
        <w:rPr>
          <w:i/>
        </w:rPr>
        <w:t>x</w:t>
      </w:r>
      <w:proofErr w:type="gramStart"/>
      <w:r>
        <w:rPr>
          <w:vertAlign w:val="subscript"/>
        </w:rPr>
        <w:t>1</w:t>
      </w:r>
      <w:r>
        <w:rPr>
          <w:i/>
        </w:rPr>
        <w:t>,x</w:t>
      </w:r>
      <w:proofErr w:type="gramEnd"/>
      <w:r>
        <w:rPr>
          <w:vertAlign w:val="subscript"/>
        </w:rPr>
        <w:t>2</w:t>
      </w:r>
      <w:r>
        <w:t xml:space="preserve">). The </w:t>
      </w:r>
      <w:proofErr w:type="spellStart"/>
      <w:r>
        <w:t>cutoff</w:t>
      </w:r>
      <w:proofErr w:type="spellEnd"/>
      <w:r>
        <w:t xml:space="preserve"> score (horizontal plane) </w:t>
      </w:r>
      <w:r>
        <w:rPr>
          <w:i/>
        </w:rPr>
        <w:t xml:space="preserve">Score </w:t>
      </w:r>
      <w:r>
        <w:t>= 0</w:t>
      </w:r>
      <w:r>
        <w:rPr>
          <w:i/>
        </w:rPr>
        <w:t>.</w:t>
      </w:r>
      <w:r>
        <w:t xml:space="preserve">70 represents the minimum score required to be approved for a loan. The black dot indicates the consumer’s current score. The red dot </w:t>
      </w:r>
      <w:proofErr w:type="gramStart"/>
      <w:r>
        <w:t>represent</w:t>
      </w:r>
      <w:proofErr w:type="gramEnd"/>
      <w:r>
        <w:t xml:space="preserve"> the point where the </w:t>
      </w:r>
      <w:proofErr w:type="spellStart"/>
      <w:r>
        <w:t>cutoff</w:t>
      </w:r>
      <w:proofErr w:type="spellEnd"/>
      <w:r>
        <w:t xml:space="preserve"> surface intersec</w:t>
      </w:r>
      <w:r>
        <w:t xml:space="preserve">ts the scoring surface. The solid black line is the optimal path from the consumer’s score to the </w:t>
      </w:r>
      <w:proofErr w:type="spellStart"/>
      <w:r>
        <w:t>cutoff</w:t>
      </w:r>
      <w:proofErr w:type="spellEnd"/>
      <w:r>
        <w:t xml:space="preserve"> score.</w:t>
      </w:r>
    </w:p>
    <w:p w14:paraId="1D6A8231" w14:textId="77777777" w:rsidR="00460AFF" w:rsidRDefault="00886791">
      <w:pPr>
        <w:spacing w:after="191"/>
        <w:ind w:left="-15" w:right="0"/>
      </w:pPr>
      <w:r>
        <w:t xml:space="preserve">To quantify feasible movements in the feature space, we can use the covariance matrix of </w:t>
      </w:r>
      <w:proofErr w:type="spellStart"/>
      <w:r>
        <w:t>withinsubject</w:t>
      </w:r>
      <w:proofErr w:type="spellEnd"/>
      <w:r>
        <w:t xml:space="preserve"> month-to-month (or quarter-to-quarter etc</w:t>
      </w:r>
      <w:r>
        <w:t>.) changes in the feature vector:</w:t>
      </w:r>
    </w:p>
    <w:p w14:paraId="1A1149C6" w14:textId="77777777" w:rsidR="00460AFF" w:rsidRDefault="00886791">
      <w:pPr>
        <w:tabs>
          <w:tab w:val="center" w:pos="4680"/>
          <w:tab w:val="right" w:pos="9360"/>
        </w:tabs>
        <w:spacing w:after="134" w:line="259" w:lineRule="auto"/>
        <w:ind w:left="0" w:right="-15" w:firstLine="0"/>
        <w:jc w:val="left"/>
      </w:pPr>
      <w:r>
        <w:rPr>
          <w:rFonts w:ascii="Calibri" w:eastAsia="Calibri" w:hAnsi="Calibri" w:cs="Calibri"/>
        </w:rPr>
        <w:tab/>
      </w:r>
      <w:r>
        <w:t xml:space="preserve">Σ = </w:t>
      </w:r>
      <w:proofErr w:type="gramStart"/>
      <w:r>
        <w:t>Var(</w:t>
      </w:r>
      <w:proofErr w:type="spellStart"/>
      <w:proofErr w:type="gramEnd"/>
      <w:r>
        <w:rPr>
          <w:i/>
        </w:rPr>
        <w:t>X</w:t>
      </w:r>
      <w:r>
        <w:rPr>
          <w:i/>
          <w:sz w:val="16"/>
        </w:rPr>
        <w:t>it</w:t>
      </w:r>
      <w:r>
        <w:rPr>
          <w:i/>
          <w:sz w:val="12"/>
        </w:rPr>
        <w:t>j</w:t>
      </w:r>
      <w:proofErr w:type="spellEnd"/>
      <w:r>
        <w:rPr>
          <w:i/>
          <w:sz w:val="12"/>
        </w:rPr>
        <w:t xml:space="preserve"> </w:t>
      </w:r>
      <w:r>
        <w:t>−</w:t>
      </w:r>
      <w:r>
        <w:t xml:space="preserve"> </w:t>
      </w:r>
      <w:r>
        <w:rPr>
          <w:i/>
        </w:rPr>
        <w:t>X</w:t>
      </w:r>
      <w:r>
        <w:rPr>
          <w:i/>
          <w:sz w:val="16"/>
        </w:rPr>
        <w:t>it</w:t>
      </w:r>
      <w:r>
        <w:rPr>
          <w:i/>
          <w:sz w:val="12"/>
        </w:rPr>
        <w:t>j</w:t>
      </w:r>
      <w:r>
        <w:rPr>
          <w:sz w:val="12"/>
        </w:rPr>
        <w:t>−</w:t>
      </w:r>
      <w:r>
        <w:rPr>
          <w:sz w:val="12"/>
        </w:rPr>
        <w:t>1</w:t>
      </w:r>
      <w:r>
        <w:t>)</w:t>
      </w:r>
      <w:r>
        <w:rPr>
          <w:i/>
        </w:rPr>
        <w:t>.</w:t>
      </w:r>
      <w:r>
        <w:rPr>
          <w:i/>
        </w:rPr>
        <w:tab/>
      </w:r>
      <w:r>
        <w:t>(1)</w:t>
      </w:r>
    </w:p>
    <w:p w14:paraId="2447FEB5" w14:textId="77777777" w:rsidR="00460AFF" w:rsidRDefault="00886791">
      <w:pPr>
        <w:ind w:left="-15" w:right="0" w:firstLine="0"/>
      </w:pPr>
      <w:r>
        <w:t>We will call this the longitudinal (co)variance matrix, and its inverse the longitudinal precision matrix. If a feature has high longitudinal variance, then a unit change in that feature is common for a consumer; conversely if a feature has low longitudina</w:t>
      </w:r>
      <w:r>
        <w:t xml:space="preserve">l variance then consumers rarely change that feature. This also captures scale: the longitudinal variance of total credit card balance will be higher than credit card utilization. If two features </w:t>
      </w:r>
      <w:r>
        <w:rPr>
          <w:i/>
        </w:rPr>
        <w:t>x</w:t>
      </w:r>
      <w:r>
        <w:rPr>
          <w:vertAlign w:val="subscript"/>
        </w:rPr>
        <w:t xml:space="preserve">1 </w:t>
      </w:r>
      <w:r>
        <w:t xml:space="preserve">and </w:t>
      </w:r>
      <w:r>
        <w:rPr>
          <w:i/>
        </w:rPr>
        <w:t>x</w:t>
      </w:r>
      <w:r>
        <w:rPr>
          <w:vertAlign w:val="subscript"/>
        </w:rPr>
        <w:t xml:space="preserve">2 </w:t>
      </w:r>
      <w:r>
        <w:t>(e.g. balance and utilization) are highly correlated, then their (appropriately weighted) sum (</w:t>
      </w:r>
      <w:r>
        <w:rPr>
          <w:i/>
        </w:rPr>
        <w:t>x</w:t>
      </w:r>
      <w:r>
        <w:rPr>
          <w:vertAlign w:val="subscript"/>
        </w:rPr>
        <w:t>1</w:t>
      </w:r>
      <w:r>
        <w:t>+</w:t>
      </w:r>
      <w:r>
        <w:rPr>
          <w:i/>
        </w:rPr>
        <w:t>αx</w:t>
      </w:r>
      <w:r>
        <w:rPr>
          <w:vertAlign w:val="subscript"/>
        </w:rPr>
        <w:t>2</w:t>
      </w:r>
      <w:r>
        <w:t>) will have a higher longitudinal variance still.</w:t>
      </w:r>
    </w:p>
    <w:p w14:paraId="79032E0E" w14:textId="77777777" w:rsidR="00460AFF" w:rsidRDefault="00886791">
      <w:pPr>
        <w:spacing w:after="30"/>
        <w:ind w:left="-15" w:right="0"/>
      </w:pPr>
      <w:r>
        <w:t>The covariance matrix itself does not give a metric on the feature space. Specifically, covariance is a s</w:t>
      </w:r>
      <w:r>
        <w:t xml:space="preserve">ymmetric bilinear form on the space </w:t>
      </w:r>
      <w:r>
        <w:t xml:space="preserve">V </w:t>
      </w:r>
      <w:r>
        <w:t xml:space="preserve">of random variables over the feature space. It allows us to </w:t>
      </w:r>
      <w:r>
        <w:lastRenderedPageBreak/>
        <w:t>compute, for example, Var(</w:t>
      </w:r>
      <w:r>
        <w:rPr>
          <w:i/>
        </w:rPr>
        <w:t>X</w:t>
      </w:r>
      <w:r>
        <w:rPr>
          <w:vertAlign w:val="subscript"/>
        </w:rPr>
        <w:t>1</w:t>
      </w:r>
      <w:r>
        <w:t>), Var(2</w:t>
      </w:r>
      <w:r>
        <w:rPr>
          <w:i/>
        </w:rPr>
        <w:t>X</w:t>
      </w:r>
      <w:r>
        <w:rPr>
          <w:vertAlign w:val="subscript"/>
        </w:rPr>
        <w:t>1</w:t>
      </w:r>
      <w:r>
        <w:t xml:space="preserve">) and </w:t>
      </w:r>
      <w:proofErr w:type="gramStart"/>
      <w:r>
        <w:t>Var(</w:t>
      </w:r>
      <w:proofErr w:type="gramEnd"/>
      <w:r>
        <w:rPr>
          <w:i/>
        </w:rPr>
        <w:t>X</w:t>
      </w:r>
      <w:r>
        <w:rPr>
          <w:vertAlign w:val="subscript"/>
        </w:rPr>
        <w:t xml:space="preserve">1 </w:t>
      </w:r>
      <w:r>
        <w:t xml:space="preserve">+ </w:t>
      </w:r>
      <w:r>
        <w:rPr>
          <w:i/>
        </w:rPr>
        <w:t>X</w:t>
      </w:r>
      <w:r>
        <w:rPr>
          <w:vertAlign w:val="subscript"/>
        </w:rPr>
        <w:t>2</w:t>
      </w:r>
      <w:r>
        <w:t xml:space="preserve">) for random variables </w:t>
      </w:r>
      <w:r>
        <w:rPr>
          <w:i/>
        </w:rPr>
        <w:t>X</w:t>
      </w:r>
      <w:r>
        <w:rPr>
          <w:vertAlign w:val="subscript"/>
        </w:rPr>
        <w:t xml:space="preserve">1 </w:t>
      </w:r>
      <w:r>
        <w:t xml:space="preserve">and </w:t>
      </w:r>
      <w:r>
        <w:rPr>
          <w:i/>
        </w:rPr>
        <w:t>X</w:t>
      </w:r>
      <w:r>
        <w:rPr>
          <w:vertAlign w:val="subscript"/>
        </w:rPr>
        <w:t>2</w:t>
      </w:r>
      <w:r>
        <w:t>. We will find that Var(2</w:t>
      </w:r>
      <w:r>
        <w:rPr>
          <w:i/>
        </w:rPr>
        <w:t>X</w:t>
      </w:r>
      <w:r>
        <w:rPr>
          <w:vertAlign w:val="subscript"/>
        </w:rPr>
        <w:t>1</w:t>
      </w:r>
      <w:r>
        <w:t>) = 4Var(</w:t>
      </w:r>
      <w:r>
        <w:rPr>
          <w:i/>
        </w:rPr>
        <w:t>X</w:t>
      </w:r>
      <w:r>
        <w:rPr>
          <w:vertAlign w:val="subscript"/>
        </w:rPr>
        <w:t>1</w:t>
      </w:r>
      <w:r>
        <w:t>), implying correctly that a unit</w:t>
      </w:r>
      <w:r>
        <w:t xml:space="preserve"> increase in 2</w:t>
      </w:r>
      <w:r>
        <w:rPr>
          <w:i/>
        </w:rPr>
        <w:t>X</w:t>
      </w:r>
      <w:r>
        <w:rPr>
          <w:vertAlign w:val="subscript"/>
        </w:rPr>
        <w:t xml:space="preserve">1 </w:t>
      </w:r>
      <w:r>
        <w:t xml:space="preserve">is more feasible than a unit increase in </w:t>
      </w:r>
      <w:r>
        <w:rPr>
          <w:i/>
        </w:rPr>
        <w:t>X</w:t>
      </w:r>
      <w:r>
        <w:rPr>
          <w:vertAlign w:val="subscript"/>
        </w:rPr>
        <w:t>1</w:t>
      </w:r>
      <w:r>
        <w:t xml:space="preserve">. But covariance does not assign a value to a specific value </w:t>
      </w:r>
      <w:r>
        <w:rPr>
          <w:i/>
        </w:rPr>
        <w:t>X</w:t>
      </w:r>
      <w:r>
        <w:rPr>
          <w:vertAlign w:val="subscript"/>
        </w:rPr>
        <w:t xml:space="preserve">1 </w:t>
      </w:r>
      <w:r>
        <w:t xml:space="preserve">= </w:t>
      </w:r>
      <w:r>
        <w:rPr>
          <w:i/>
        </w:rPr>
        <w:t>x</w:t>
      </w:r>
      <w:r>
        <w:rPr>
          <w:vertAlign w:val="subscript"/>
        </w:rPr>
        <w:t>1</w:t>
      </w:r>
      <w:r>
        <w:t xml:space="preserve">. The appropriate way to convert longitudinal covariance to a metric on the feature space is through the longitudinal precision </w:t>
      </w:r>
      <w:r>
        <w:t xml:space="preserve">matrix </w:t>
      </w:r>
      <w:r>
        <w:rPr>
          <w:i/>
        </w:rPr>
        <w:t xml:space="preserve">P </w:t>
      </w:r>
      <w:r>
        <w:t>= Σ</w:t>
      </w:r>
      <w:r>
        <w:rPr>
          <w:vertAlign w:val="superscript"/>
        </w:rPr>
        <w:t>−</w:t>
      </w:r>
      <w:r>
        <w:rPr>
          <w:vertAlign w:val="superscript"/>
        </w:rPr>
        <w:t>1</w:t>
      </w:r>
      <w:r>
        <w:t xml:space="preserve">. The feature space is dual to the variable space, as a specific value </w:t>
      </w:r>
      <w:r>
        <w:rPr>
          <w:i/>
        </w:rPr>
        <w:t xml:space="preserve">X </w:t>
      </w:r>
      <w:r>
        <w:t xml:space="preserve">= </w:t>
      </w:r>
      <w:r>
        <w:rPr>
          <w:i/>
        </w:rPr>
        <w:t xml:space="preserve">x </w:t>
      </w:r>
      <w:r>
        <w:t xml:space="preserve">provides a linear map </w:t>
      </w:r>
      <w:r>
        <w:t xml:space="preserve">V → </w:t>
      </w:r>
      <w:r>
        <w:rPr>
          <w:b/>
        </w:rPr>
        <w:t xml:space="preserve">R </w:t>
      </w:r>
      <w:r>
        <w:t xml:space="preserve">by evaluation at </w:t>
      </w:r>
      <w:r>
        <w:rPr>
          <w:i/>
        </w:rPr>
        <w:t>x</w:t>
      </w:r>
      <w:r>
        <w:t>. The precision matrix gives a symmetric bilinear form on the feature space.</w:t>
      </w:r>
    </w:p>
    <w:p w14:paraId="0A0ADA28" w14:textId="77777777" w:rsidR="00460AFF" w:rsidRDefault="00886791">
      <w:pPr>
        <w:spacing w:after="271" w:line="259" w:lineRule="auto"/>
        <w:ind w:left="1399" w:right="0" w:firstLine="0"/>
        <w:jc w:val="left"/>
      </w:pPr>
      <w:r>
        <w:rPr>
          <w:noProof/>
        </w:rPr>
        <w:drawing>
          <wp:inline distT="0" distB="0" distL="0" distR="0" wp14:anchorId="3C872E55" wp14:editId="54581988">
            <wp:extent cx="4167188" cy="3786188"/>
            <wp:effectExtent l="0" t="0" r="0" b="0"/>
            <wp:docPr id="413" name="Picture 413" descr="Plot of Score = f(x1,x2). The black dot indicates the consumer’s current score. The horizontal plane a Score = 0.28 represents the minimum score required to be approved for a loan."/>
            <wp:cNvGraphicFramePr/>
            <a:graphic xmlns:a="http://schemas.openxmlformats.org/drawingml/2006/main">
              <a:graphicData uri="http://schemas.openxmlformats.org/drawingml/2006/picture">
                <pic:pic xmlns:pic="http://schemas.openxmlformats.org/drawingml/2006/picture">
                  <pic:nvPicPr>
                    <pic:cNvPr id="413" name="Picture 413" descr="Plot of Score = f(x1,x2). The black dot indicates the consumer’s current score. The horizontal plane a Score = 0.28 represents the minimum score required to be approved for a loan."/>
                    <pic:cNvPicPr/>
                  </pic:nvPicPr>
                  <pic:blipFill>
                    <a:blip r:embed="rId11"/>
                    <a:stretch>
                      <a:fillRect/>
                    </a:stretch>
                  </pic:blipFill>
                  <pic:spPr>
                    <a:xfrm>
                      <a:off x="0" y="0"/>
                      <a:ext cx="4167188" cy="3786188"/>
                    </a:xfrm>
                    <a:prstGeom prst="rect">
                      <a:avLst/>
                    </a:prstGeom>
                  </pic:spPr>
                </pic:pic>
              </a:graphicData>
            </a:graphic>
          </wp:inline>
        </w:drawing>
      </w:r>
    </w:p>
    <w:p w14:paraId="5D5FE8CD" w14:textId="77777777" w:rsidR="00460AFF" w:rsidRDefault="00886791">
      <w:pPr>
        <w:spacing w:after="349"/>
        <w:ind w:left="717" w:right="717" w:firstLine="0"/>
      </w:pPr>
      <w:r>
        <w:rPr>
          <w:rFonts w:ascii="Calibri" w:eastAsia="Calibri" w:hAnsi="Calibri" w:cs="Calibri"/>
        </w:rPr>
        <w:t xml:space="preserve">Figure 3. </w:t>
      </w:r>
      <w:r>
        <w:t xml:space="preserve">Plot of </w:t>
      </w:r>
      <w:r>
        <w:rPr>
          <w:i/>
        </w:rPr>
        <w:t xml:space="preserve">Score </w:t>
      </w:r>
      <w:r>
        <w:t xml:space="preserve">= </w:t>
      </w:r>
      <w:r>
        <w:rPr>
          <w:i/>
        </w:rPr>
        <w:t>f</w:t>
      </w:r>
      <w:r>
        <w:t>(</w:t>
      </w:r>
      <w:r>
        <w:rPr>
          <w:i/>
        </w:rPr>
        <w:t>x</w:t>
      </w:r>
      <w:proofErr w:type="gramStart"/>
      <w:r>
        <w:rPr>
          <w:vertAlign w:val="subscript"/>
        </w:rPr>
        <w:t>1</w:t>
      </w:r>
      <w:r>
        <w:rPr>
          <w:i/>
        </w:rPr>
        <w:t>,x</w:t>
      </w:r>
      <w:proofErr w:type="gramEnd"/>
      <w:r>
        <w:rPr>
          <w:vertAlign w:val="subscript"/>
        </w:rPr>
        <w:t>2</w:t>
      </w:r>
      <w:r>
        <w:t xml:space="preserve">). The black dot indicates the consumer’s current score. The horizontal plane a </w:t>
      </w:r>
      <w:r>
        <w:rPr>
          <w:i/>
        </w:rPr>
        <w:t xml:space="preserve">Score </w:t>
      </w:r>
      <w:r>
        <w:t>= 0</w:t>
      </w:r>
      <w:r>
        <w:rPr>
          <w:i/>
        </w:rPr>
        <w:t>.</w:t>
      </w:r>
      <w:r>
        <w:t>28 represents the minimum score required to be approved for a loan.</w:t>
      </w:r>
    </w:p>
    <w:p w14:paraId="4372EA1F" w14:textId="77777777" w:rsidR="00460AFF" w:rsidRDefault="00886791">
      <w:pPr>
        <w:ind w:left="-15" w:right="0"/>
      </w:pPr>
      <w:r>
        <w:t>The precision matrix, like the covariance matrix, is positive definite and symmetric so it produce</w:t>
      </w:r>
      <w:r>
        <w:t xml:space="preserve">s a valid Riemannian metric. Vectors with high variance have low precision, so a unit change in a common/easy direction in the feature space will be a short path, while a unit change in an uncommon direction will be a long path. A benefit of the precision </w:t>
      </w:r>
      <w:r>
        <w:t>matrix is that, as its off-diagonal terms represent the negative conditional correlation of features, it captures the fact that certain groups of features usually move together. For example balance and utilization are conditionally positively correlated (a</w:t>
      </w:r>
      <w:r>
        <w:t>lmost perfectly), so an increase in balance without a corresponding increase in utilization would be unusual and would have a high precision, whereas an increase in balance with a corresponding increase in utilization would be feasible and have a low preci</w:t>
      </w:r>
      <w:r>
        <w:t xml:space="preserve">sion - a short path. For this </w:t>
      </w:r>
      <w:proofErr w:type="gramStart"/>
      <w:r>
        <w:t>reason</w:t>
      </w:r>
      <w:proofErr w:type="gramEnd"/>
      <w:r>
        <w:t xml:space="preserve"> the precision matrix is commonly referred to as the “surprise” matrix - it quantifies how unusual/surprising an observation is.</w:t>
      </w:r>
    </w:p>
    <w:p w14:paraId="2A8C8573" w14:textId="77777777" w:rsidR="00460AFF" w:rsidRDefault="00886791">
      <w:pPr>
        <w:spacing w:after="314"/>
        <w:ind w:left="-15" w:right="0"/>
      </w:pPr>
      <w:r>
        <w:lastRenderedPageBreak/>
        <w:t>When the precision matrix calculated over the whole dataset is used to define a metric, the</w:t>
      </w:r>
      <w:r>
        <w:t xml:space="preserve"> distance defined by this metric is the </w:t>
      </w:r>
      <w:proofErr w:type="spellStart"/>
      <w:r>
        <w:rPr>
          <w:i/>
        </w:rPr>
        <w:t>Mahalanobis</w:t>
      </w:r>
      <w:proofErr w:type="spellEnd"/>
      <w:r>
        <w:rPr>
          <w:i/>
        </w:rPr>
        <w:t xml:space="preserve"> distance</w:t>
      </w:r>
      <w:r>
        <w:t>. We innovate by calculating Σ over within-subject month-on-month changes, rather than the whole cross-sectional dataset.</w:t>
      </w:r>
    </w:p>
    <w:p w14:paraId="6BE84C9D" w14:textId="77777777" w:rsidR="00460AFF" w:rsidRDefault="00886791">
      <w:pPr>
        <w:spacing w:after="32" w:line="259" w:lineRule="auto"/>
        <w:ind w:left="10" w:right="0" w:hanging="10"/>
        <w:jc w:val="center"/>
      </w:pPr>
      <w:r>
        <w:t xml:space="preserve">3. </w:t>
      </w:r>
      <w:r>
        <w:rPr>
          <w:rFonts w:ascii="Calibri" w:eastAsia="Calibri" w:hAnsi="Calibri" w:cs="Calibri"/>
        </w:rPr>
        <w:t>Optimal Path in the Feature Space</w:t>
      </w:r>
    </w:p>
    <w:p w14:paraId="49D019F2" w14:textId="77777777" w:rsidR="00460AFF" w:rsidRDefault="00886791">
      <w:pPr>
        <w:spacing w:after="32" w:line="259" w:lineRule="auto"/>
        <w:ind w:left="10" w:right="-15" w:hanging="10"/>
        <w:jc w:val="right"/>
      </w:pPr>
      <w:r>
        <w:t xml:space="preserve">Let </w:t>
      </w:r>
      <w:r>
        <w:rPr>
          <w:noProof/>
        </w:rPr>
        <w:drawing>
          <wp:inline distT="0" distB="0" distL="0" distR="0" wp14:anchorId="64B441CF" wp14:editId="52D84F45">
            <wp:extent cx="1520952" cy="192024"/>
            <wp:effectExtent l="0" t="0" r="0" b="0"/>
            <wp:docPr id="15387" name="Picture 153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387" name="Picture 15387">
                      <a:extLst>
                        <a:ext uri="{C183D7F6-B498-43B3-948B-1728B52AA6E4}">
                          <adec:decorative xmlns:adec="http://schemas.microsoft.com/office/drawing/2017/decorative" val="1"/>
                        </a:ext>
                      </a:extLst>
                    </pic:cNvPr>
                    <pic:cNvPicPr/>
                  </pic:nvPicPr>
                  <pic:blipFill>
                    <a:blip r:embed="rId12"/>
                    <a:stretch>
                      <a:fillRect/>
                    </a:stretch>
                  </pic:blipFill>
                  <pic:spPr>
                    <a:xfrm>
                      <a:off x="0" y="0"/>
                      <a:ext cx="1520952" cy="192024"/>
                    </a:xfrm>
                    <a:prstGeom prst="rect">
                      <a:avLst/>
                    </a:prstGeom>
                  </pic:spPr>
                </pic:pic>
              </a:graphicData>
            </a:graphic>
          </wp:inline>
        </w:drawing>
      </w:r>
      <w:r>
        <w:t xml:space="preserve"> denote the features (attributes</w:t>
      </w:r>
      <w:r>
        <w:t xml:space="preserve">) of a particular record at time </w:t>
      </w:r>
      <w:r>
        <w:rPr>
          <w:i/>
        </w:rPr>
        <w:t>t</w:t>
      </w:r>
      <w:r>
        <w:t>.</w:t>
      </w:r>
    </w:p>
    <w:p w14:paraId="4F803CF1" w14:textId="77777777" w:rsidR="00460AFF" w:rsidRDefault="00886791">
      <w:pPr>
        <w:spacing w:line="331" w:lineRule="auto"/>
        <w:ind w:left="-15" w:right="0" w:firstLine="0"/>
      </w:pPr>
      <w:r>
        <w:t xml:space="preserve">Our first goal is to take the shortest feasible step </w:t>
      </w:r>
      <w:r>
        <w:rPr>
          <w:i/>
          <w:sz w:val="34"/>
          <w:vertAlign w:val="superscript"/>
        </w:rPr>
        <w:t>~</w:t>
      </w:r>
      <w:r>
        <w:rPr>
          <w:i/>
        </w:rPr>
        <w:t xml:space="preserve">δ </w:t>
      </w:r>
      <w:r>
        <w:t xml:space="preserve">∈ </w:t>
      </w:r>
      <w:r>
        <w:rPr>
          <w:rFonts w:ascii="Calibri" w:eastAsia="Calibri" w:hAnsi="Calibri" w:cs="Calibri"/>
        </w:rPr>
        <w:t>R</w:t>
      </w:r>
      <w:r>
        <w:rPr>
          <w:i/>
          <w:vertAlign w:val="superscript"/>
        </w:rPr>
        <w:t xml:space="preserve">p </w:t>
      </w:r>
      <w:r>
        <w:t xml:space="preserve">in </w:t>
      </w:r>
      <w:proofErr w:type="gramStart"/>
      <w:r>
        <w:t>one time</w:t>
      </w:r>
      <w:proofErr w:type="gramEnd"/>
      <w:r>
        <w:t xml:space="preserve"> increment that attains a score increase of </w:t>
      </w:r>
      <w:r>
        <w:rPr>
          <w:i/>
        </w:rPr>
        <w:t xml:space="preserve">C </w:t>
      </w:r>
      <w:r>
        <w:t>units.</w:t>
      </w:r>
    </w:p>
    <w:p w14:paraId="05AED633" w14:textId="77777777" w:rsidR="00460AFF" w:rsidRDefault="00886791">
      <w:pPr>
        <w:ind w:left="-15" w:right="0"/>
      </w:pPr>
      <w:r>
        <w:t xml:space="preserve">We need to define what is “feasible”. Feasibility can be broken into two parts - portfolio level feasibility and consumer level feasibility. Portfolio level ensures that </w:t>
      </w:r>
      <w:r>
        <w:rPr>
          <w:i/>
        </w:rPr>
        <w:t xml:space="preserve">X~ </w:t>
      </w:r>
      <w:r>
        <w:rPr>
          <w:i/>
          <w:vertAlign w:val="superscript"/>
        </w:rPr>
        <w:t>t</w:t>
      </w:r>
      <w:r>
        <w:t>+</w:t>
      </w:r>
      <w:r>
        <w:rPr>
          <w:i/>
          <w:sz w:val="34"/>
          <w:vertAlign w:val="superscript"/>
        </w:rPr>
        <w:t>~</w:t>
      </w:r>
      <w:r>
        <w:rPr>
          <w:i/>
        </w:rPr>
        <w:t xml:space="preserve">δ </w:t>
      </w:r>
      <w:r>
        <w:t xml:space="preserve">belongs to the manifold of the development sample. One such solution would be </w:t>
      </w:r>
      <w:r>
        <w:t xml:space="preserve">to use an autoencoder developed on the training dataset to determine if the new proposed data point </w:t>
      </w:r>
      <w:r>
        <w:rPr>
          <w:i/>
        </w:rPr>
        <w:t xml:space="preserve">X~ </w:t>
      </w:r>
      <w:r>
        <w:rPr>
          <w:i/>
          <w:vertAlign w:val="superscript"/>
        </w:rPr>
        <w:t xml:space="preserve">t </w:t>
      </w:r>
      <w:r>
        <w:t xml:space="preserve">+ </w:t>
      </w:r>
      <w:r>
        <w:rPr>
          <w:i/>
          <w:sz w:val="34"/>
          <w:vertAlign w:val="superscript"/>
        </w:rPr>
        <w:t>~</w:t>
      </w:r>
      <w:r>
        <w:rPr>
          <w:i/>
        </w:rPr>
        <w:t xml:space="preserve">δ </w:t>
      </w:r>
      <w:r>
        <w:t>is feasible - that is all the points that are close to the manifold of the development sample. Examples that involve time may be feasible at the p</w:t>
      </w:r>
      <w:r>
        <w:t xml:space="preserve">ortfolio level but not at the consumer level. The autoencoder could allow an action at the portfolio level that is not feasible at the consumer level. Consider a consumer that just filed for bankruptcy. It is not feasible to suggest the </w:t>
      </w:r>
      <w:proofErr w:type="gramStart"/>
      <w:r>
        <w:t>consumer ”immediate</w:t>
      </w:r>
      <w:r>
        <w:t>ly</w:t>
      </w:r>
      <w:proofErr w:type="gramEnd"/>
      <w:r>
        <w:t xml:space="preserve">” remove the bankruptcy from their credit file, as it will take years to fall off the credit file. What is needed then is an algorithm that profiles consumers and determines what is feasible for </w:t>
      </w:r>
      <w:proofErr w:type="gramStart"/>
      <w:r>
        <w:t>an ”individual</w:t>
      </w:r>
      <w:proofErr w:type="gramEnd"/>
      <w:r>
        <w:t>” consumer in a single time increment.</w:t>
      </w:r>
    </w:p>
    <w:p w14:paraId="1F5C248B" w14:textId="77777777" w:rsidR="00460AFF" w:rsidRDefault="00886791">
      <w:pPr>
        <w:spacing w:after="90"/>
        <w:ind w:left="-15" w:right="0"/>
      </w:pPr>
      <w:r>
        <w:t xml:space="preserve">There </w:t>
      </w:r>
      <w:r>
        <w:t>are many technical details we have solved for that are not detailed in section (2). These include properly handling missing, default, and categorical values and possible inversion problems of singular or nearly singular matrices. In this paper, we will onl</w:t>
      </w:r>
      <w:r>
        <w:t>y detail a minimally viable product (MVP). For the MVP, we</w:t>
      </w:r>
    </w:p>
    <w:p w14:paraId="2CF29CF3" w14:textId="77777777" w:rsidR="00460AFF" w:rsidRDefault="00886791">
      <w:pPr>
        <w:numPr>
          <w:ilvl w:val="0"/>
          <w:numId w:val="2"/>
        </w:numPr>
        <w:ind w:left="851" w:right="0" w:hanging="379"/>
      </w:pPr>
      <w:r>
        <w:t>Work only with a small subset of the Advanced Decisioning Attributes (ADA) for those consumers who have at least one open trade and a valid Equifax Risk Score (ERS3).</w:t>
      </w:r>
    </w:p>
    <w:p w14:paraId="727BCF72" w14:textId="77777777" w:rsidR="00460AFF" w:rsidRDefault="00886791">
      <w:pPr>
        <w:numPr>
          <w:ilvl w:val="0"/>
          <w:numId w:val="2"/>
        </w:numPr>
        <w:spacing w:after="27"/>
        <w:ind w:left="851" w:right="0" w:hanging="379"/>
      </w:pPr>
      <w:r>
        <w:t>Standardize the data using z-s</w:t>
      </w:r>
      <w:r>
        <w:t>core transformations for cluster analysis.</w:t>
      </w:r>
    </w:p>
    <w:p w14:paraId="12D238F6" w14:textId="77777777" w:rsidR="00460AFF" w:rsidRDefault="00886791">
      <w:pPr>
        <w:numPr>
          <w:ilvl w:val="0"/>
          <w:numId w:val="2"/>
        </w:numPr>
        <w:ind w:left="851" w:right="0" w:hanging="379"/>
      </w:pPr>
      <w:r>
        <w:t>Choose to approximate the longitudinal covariance matrix by computing the sample longitudinal covariance of sub-samples, where the sub-samples are defined by a cluster analysis detailed below and is comprised of c</w:t>
      </w:r>
      <w:r>
        <w:t>onsumers who are similar to one another (as determined by the cluster analysis).</w:t>
      </w:r>
    </w:p>
    <w:p w14:paraId="25DFE240" w14:textId="77777777" w:rsidR="00460AFF" w:rsidRDefault="00886791">
      <w:pPr>
        <w:numPr>
          <w:ilvl w:val="0"/>
          <w:numId w:val="2"/>
        </w:numPr>
        <w:spacing w:after="27"/>
        <w:ind w:left="851" w:right="0" w:hanging="379"/>
      </w:pPr>
      <w:r>
        <w:t>All features (consumer level attributes) are treated as continuous random variables.</w:t>
      </w:r>
    </w:p>
    <w:p w14:paraId="18F78386" w14:textId="77777777" w:rsidR="00460AFF" w:rsidRDefault="00886791">
      <w:pPr>
        <w:numPr>
          <w:ilvl w:val="0"/>
          <w:numId w:val="2"/>
        </w:numPr>
        <w:spacing w:after="249"/>
        <w:ind w:left="851" w:right="0" w:hanging="379"/>
      </w:pPr>
      <w:r>
        <w:t>Default/Missing values are imputed to 0 or 1 as appropriate. This is possible since we are</w:t>
      </w:r>
      <w:r>
        <w:t xml:space="preserve"> only considering ADA attributes and missing values for each ADA attribute can be logically assigned to 0 or 1 as appropriate.</w:t>
      </w:r>
    </w:p>
    <w:p w14:paraId="6A7D7016" w14:textId="77777777" w:rsidR="00460AFF" w:rsidRDefault="00886791">
      <w:pPr>
        <w:spacing w:after="98"/>
        <w:ind w:left="-15" w:right="0" w:firstLine="0"/>
      </w:pPr>
      <w:r>
        <w:t xml:space="preserve">3.1. </w:t>
      </w:r>
      <w:r>
        <w:rPr>
          <w:b/>
        </w:rPr>
        <w:t xml:space="preserve">Optimal Single Step Algorithm. </w:t>
      </w:r>
      <w:r>
        <w:t xml:space="preserve">To develop the </w:t>
      </w:r>
      <w:proofErr w:type="spellStart"/>
      <w:r>
        <w:t>the</w:t>
      </w:r>
      <w:proofErr w:type="spellEnd"/>
      <w:r>
        <w:t xml:space="preserve"> MVP model, a 1% sample of U.S. consumers with at least one open trade and </w:t>
      </w:r>
      <w:r>
        <w:t>a valid ERS3 score were sourced from January 2018 (</w:t>
      </w:r>
      <w:r>
        <w:rPr>
          <w:i/>
        </w:rPr>
        <w:t xml:space="preserve">t </w:t>
      </w:r>
      <w:r>
        <w:t>= 0) and February 2018 (</w:t>
      </w:r>
      <w:r>
        <w:rPr>
          <w:i/>
        </w:rPr>
        <w:t xml:space="preserve">t </w:t>
      </w:r>
      <w:r>
        <w:t>= 1). The attributes that were included in the MVP are</w:t>
      </w:r>
    </w:p>
    <w:p w14:paraId="6941F5F9" w14:textId="77777777" w:rsidR="00460AFF" w:rsidRDefault="00886791">
      <w:pPr>
        <w:numPr>
          <w:ilvl w:val="0"/>
          <w:numId w:val="3"/>
        </w:numPr>
        <w:spacing w:after="18" w:line="259" w:lineRule="auto"/>
        <w:ind w:right="0" w:hanging="488"/>
        <w:jc w:val="left"/>
      </w:pPr>
      <w:r>
        <w:rPr>
          <w:i/>
        </w:rPr>
        <w:t>Number of inquiries in the last month</w:t>
      </w:r>
    </w:p>
    <w:p w14:paraId="22864692" w14:textId="77777777" w:rsidR="00460AFF" w:rsidRDefault="00886791">
      <w:pPr>
        <w:numPr>
          <w:ilvl w:val="0"/>
          <w:numId w:val="3"/>
        </w:numPr>
        <w:spacing w:after="18" w:line="259" w:lineRule="auto"/>
        <w:ind w:right="0" w:hanging="488"/>
        <w:jc w:val="left"/>
      </w:pPr>
      <w:r>
        <w:rPr>
          <w:i/>
        </w:rPr>
        <w:t>Number of inquiries in the last 12 months</w:t>
      </w:r>
    </w:p>
    <w:p w14:paraId="144E2536" w14:textId="77777777" w:rsidR="00460AFF" w:rsidRDefault="00886791">
      <w:pPr>
        <w:numPr>
          <w:ilvl w:val="0"/>
          <w:numId w:val="3"/>
        </w:numPr>
        <w:spacing w:after="18" w:line="259" w:lineRule="auto"/>
        <w:ind w:right="0" w:hanging="488"/>
        <w:jc w:val="left"/>
      </w:pPr>
      <w:r>
        <w:rPr>
          <w:i/>
        </w:rPr>
        <w:t>Balance on revolving accounts</w:t>
      </w:r>
    </w:p>
    <w:p w14:paraId="14F637C0" w14:textId="77777777" w:rsidR="00460AFF" w:rsidRDefault="00886791">
      <w:pPr>
        <w:numPr>
          <w:ilvl w:val="0"/>
          <w:numId w:val="3"/>
        </w:numPr>
        <w:spacing w:after="18" w:line="259" w:lineRule="auto"/>
        <w:ind w:right="0" w:hanging="488"/>
        <w:jc w:val="left"/>
      </w:pPr>
      <w:r>
        <w:rPr>
          <w:i/>
        </w:rPr>
        <w:t>Utilization on revolving accounts</w:t>
      </w:r>
    </w:p>
    <w:p w14:paraId="44C57DE4" w14:textId="77777777" w:rsidR="00460AFF" w:rsidRDefault="00886791">
      <w:pPr>
        <w:numPr>
          <w:ilvl w:val="0"/>
          <w:numId w:val="3"/>
        </w:numPr>
        <w:spacing w:after="18" w:line="259" w:lineRule="auto"/>
        <w:ind w:right="0" w:hanging="488"/>
        <w:jc w:val="left"/>
      </w:pPr>
      <w:r>
        <w:rPr>
          <w:i/>
        </w:rPr>
        <w:t>Percent of accounts always satisfactory</w:t>
      </w:r>
    </w:p>
    <w:p w14:paraId="677B760F" w14:textId="77777777" w:rsidR="00460AFF" w:rsidRDefault="00886791">
      <w:pPr>
        <w:numPr>
          <w:ilvl w:val="0"/>
          <w:numId w:val="3"/>
        </w:numPr>
        <w:spacing w:after="18" w:line="259" w:lineRule="auto"/>
        <w:ind w:right="0" w:hanging="488"/>
        <w:jc w:val="left"/>
      </w:pPr>
      <w:r>
        <w:rPr>
          <w:i/>
        </w:rPr>
        <w:lastRenderedPageBreak/>
        <w:t>Number of accounts</w:t>
      </w:r>
    </w:p>
    <w:p w14:paraId="066CFC50" w14:textId="77777777" w:rsidR="00460AFF" w:rsidRDefault="00886791">
      <w:pPr>
        <w:numPr>
          <w:ilvl w:val="0"/>
          <w:numId w:val="3"/>
        </w:numPr>
        <w:spacing w:after="18" w:line="259" w:lineRule="auto"/>
        <w:ind w:right="0" w:hanging="488"/>
        <w:jc w:val="left"/>
      </w:pPr>
      <w:r>
        <w:rPr>
          <w:i/>
        </w:rPr>
        <w:t>Age of oldest revolving account</w:t>
      </w:r>
    </w:p>
    <w:p w14:paraId="1E183AE4" w14:textId="77777777" w:rsidR="00460AFF" w:rsidRDefault="00886791">
      <w:pPr>
        <w:numPr>
          <w:ilvl w:val="0"/>
          <w:numId w:val="3"/>
        </w:numPr>
        <w:spacing w:after="18" w:line="259" w:lineRule="auto"/>
        <w:ind w:right="0" w:hanging="488"/>
        <w:jc w:val="left"/>
      </w:pPr>
      <w:r>
        <w:rPr>
          <w:i/>
        </w:rPr>
        <w:t xml:space="preserve">Number of accounts with past due amount &gt; </w:t>
      </w:r>
      <w:r>
        <w:t>$0</w:t>
      </w:r>
    </w:p>
    <w:p w14:paraId="22980EA7" w14:textId="77777777" w:rsidR="00460AFF" w:rsidRDefault="00886791">
      <w:pPr>
        <w:numPr>
          <w:ilvl w:val="0"/>
          <w:numId w:val="3"/>
        </w:numPr>
        <w:spacing w:after="18" w:line="259" w:lineRule="auto"/>
        <w:ind w:right="0" w:hanging="488"/>
        <w:jc w:val="left"/>
      </w:pPr>
      <w:r>
        <w:rPr>
          <w:i/>
        </w:rPr>
        <w:t>Total amount past due</w:t>
      </w:r>
    </w:p>
    <w:p w14:paraId="3E76DDA2" w14:textId="77777777" w:rsidR="00460AFF" w:rsidRDefault="00886791">
      <w:pPr>
        <w:numPr>
          <w:ilvl w:val="0"/>
          <w:numId w:val="3"/>
        </w:numPr>
        <w:spacing w:after="18" w:line="259" w:lineRule="auto"/>
        <w:ind w:right="0" w:hanging="488"/>
        <w:jc w:val="left"/>
      </w:pPr>
      <w:r>
        <w:rPr>
          <w:i/>
        </w:rPr>
        <w:t>Number of 60+ days past due occurrences in the last 24 months</w:t>
      </w:r>
    </w:p>
    <w:p w14:paraId="712155D5" w14:textId="77777777" w:rsidR="00460AFF" w:rsidRDefault="00886791">
      <w:pPr>
        <w:numPr>
          <w:ilvl w:val="0"/>
          <w:numId w:val="3"/>
        </w:numPr>
        <w:spacing w:after="136" w:line="259" w:lineRule="auto"/>
        <w:ind w:right="0" w:hanging="488"/>
        <w:jc w:val="left"/>
      </w:pPr>
      <w:r>
        <w:rPr>
          <w:i/>
        </w:rPr>
        <w:t>Percent of open revolving accounts to all open accounts</w:t>
      </w:r>
    </w:p>
    <w:p w14:paraId="26E6BF3F" w14:textId="77777777" w:rsidR="00460AFF" w:rsidRDefault="00886791">
      <w:pPr>
        <w:ind w:left="-15" w:right="0" w:firstLine="0"/>
      </w:pPr>
      <w:r>
        <w:t xml:space="preserve">First, we developed a very simple linear regression proxy model to ERS3 using the </w:t>
      </w:r>
      <w:r>
        <w:rPr>
          <w:i/>
        </w:rPr>
        <w:t xml:space="preserve">X~ </w:t>
      </w:r>
      <w:r>
        <w:rPr>
          <w:vertAlign w:val="superscript"/>
        </w:rPr>
        <w:t xml:space="preserve">0 </w:t>
      </w:r>
      <w:r>
        <w:t>data to predict</w:t>
      </w:r>
      <w:r>
        <w:rPr>
          <w:noProof/>
        </w:rPr>
        <w:drawing>
          <wp:inline distT="0" distB="0" distL="0" distR="0" wp14:anchorId="21F8592B" wp14:editId="4F65F43D">
            <wp:extent cx="426720" cy="188976"/>
            <wp:effectExtent l="0" t="0" r="0" b="0"/>
            <wp:docPr id="15388" name="Picture 153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388" name="Picture 15388">
                      <a:extLst>
                        <a:ext uri="{C183D7F6-B498-43B3-948B-1728B52AA6E4}">
                          <adec:decorative xmlns:adec="http://schemas.microsoft.com/office/drawing/2017/decorative" val="1"/>
                        </a:ext>
                      </a:extLst>
                    </pic:cNvPr>
                    <pic:cNvPicPr/>
                  </pic:nvPicPr>
                  <pic:blipFill>
                    <a:blip r:embed="rId13"/>
                    <a:stretch>
                      <a:fillRect/>
                    </a:stretch>
                  </pic:blipFill>
                  <pic:spPr>
                    <a:xfrm>
                      <a:off x="0" y="0"/>
                      <a:ext cx="426720" cy="188976"/>
                    </a:xfrm>
                    <a:prstGeom prst="rect">
                      <a:avLst/>
                    </a:prstGeom>
                  </pic:spPr>
                </pic:pic>
              </a:graphicData>
            </a:graphic>
          </wp:inline>
        </w:drawing>
      </w:r>
      <w:r>
        <w:t xml:space="preserve">. The model has an </w:t>
      </w:r>
      <w:proofErr w:type="spellStart"/>
      <w:r>
        <w:t>Rquared</w:t>
      </w:r>
      <w:proofErr w:type="spellEnd"/>
      <w:r>
        <w:t xml:space="preserve"> of 0</w:t>
      </w:r>
      <w:r>
        <w:rPr>
          <w:i/>
        </w:rPr>
        <w:t>.</w:t>
      </w:r>
      <w:r>
        <w:t>82.</w:t>
      </w:r>
      <w:r>
        <w:t xml:space="preserve"> </w:t>
      </w:r>
      <w:proofErr w:type="gramStart"/>
      <w:r>
        <w:t>Next</w:t>
      </w:r>
      <w:proofErr w:type="gramEnd"/>
      <w:r>
        <w:t xml:space="preserve"> we conducted a </w:t>
      </w:r>
      <w:r>
        <w:rPr>
          <w:i/>
        </w:rPr>
        <w:t>k</w:t>
      </w:r>
      <w:r>
        <w:t xml:space="preserve">-means cluster analysis on the </w:t>
      </w:r>
      <w:r>
        <w:rPr>
          <w:i/>
        </w:rPr>
        <w:t>X</w:t>
      </w:r>
      <w:r>
        <w:rPr>
          <w:vertAlign w:val="superscript"/>
        </w:rPr>
        <w:t xml:space="preserve">0 </w:t>
      </w:r>
      <w:r>
        <w:t xml:space="preserve">data. The cluster analysis was constructed to be extremely granular </w:t>
      </w:r>
      <w:proofErr w:type="gramStart"/>
      <w:r>
        <w:t>so as to</w:t>
      </w:r>
      <w:proofErr w:type="gramEnd"/>
      <w:r>
        <w:t xml:space="preserve"> best represent the data. We were not interested in getting the fewest clusters possible. Instead, we only needed to ensure </w:t>
      </w:r>
      <w:r>
        <w:t xml:space="preserve">that each cluster had enough data points to reasonably approximate the centroid of cluster </w:t>
      </w:r>
      <w:r>
        <w:rPr>
          <w:i/>
        </w:rPr>
        <w:t>k</w:t>
      </w:r>
      <w:r>
        <w:t xml:space="preserve">, </w:t>
      </w:r>
      <w:r>
        <w:rPr>
          <w:i/>
        </w:rPr>
        <w:t>~c</w:t>
      </w:r>
      <w:r>
        <w:rPr>
          <w:i/>
          <w:vertAlign w:val="subscript"/>
        </w:rPr>
        <w:t>k</w:t>
      </w:r>
      <w:r>
        <w:t xml:space="preserve">, with confidence and that there were enough clusters to adequately capture nuances in the data. Next, for each cluster </w:t>
      </w:r>
      <w:r>
        <w:rPr>
          <w:i/>
        </w:rPr>
        <w:t>k</w:t>
      </w:r>
      <w:r>
        <w:t xml:space="preserve">, we computed the mean </w:t>
      </w:r>
      <w:r>
        <w:rPr>
          <w:i/>
        </w:rPr>
        <w:t>µ~</w:t>
      </w:r>
      <w:r>
        <w:rPr>
          <w:i/>
          <w:vertAlign w:val="subscript"/>
        </w:rPr>
        <w:t>k</w:t>
      </w:r>
      <w:r>
        <w:t>, covariance</w:t>
      </w:r>
      <w:r>
        <w:t xml:space="preserve"> </w:t>
      </w:r>
      <w:proofErr w:type="spellStart"/>
      <w:r>
        <w:t>Σ</w:t>
      </w:r>
      <w:r>
        <w:rPr>
          <w:i/>
          <w:vertAlign w:val="subscript"/>
        </w:rPr>
        <w:t>k</w:t>
      </w:r>
      <w:proofErr w:type="spellEnd"/>
      <w:r>
        <w:t xml:space="preserve">, and precision matrix </w:t>
      </w:r>
      <w:r>
        <w:rPr>
          <w:i/>
        </w:rPr>
        <w:t xml:space="preserve">P </w:t>
      </w:r>
      <w:r>
        <w:t>= Σ</w:t>
      </w:r>
      <w:r>
        <w:rPr>
          <w:vertAlign w:val="superscript"/>
        </w:rPr>
        <w:t>−</w:t>
      </w:r>
      <w:r>
        <w:rPr>
          <w:vertAlign w:val="superscript"/>
        </w:rPr>
        <w:t xml:space="preserve">1 </w:t>
      </w:r>
      <w:r>
        <w:t xml:space="preserve">of the distribution of </w:t>
      </w:r>
      <w:r>
        <w:rPr>
          <w:i/>
          <w:sz w:val="34"/>
          <w:vertAlign w:val="superscript"/>
        </w:rPr>
        <w:t>~</w:t>
      </w:r>
      <w:proofErr w:type="spellStart"/>
      <w:r>
        <w:rPr>
          <w:i/>
        </w:rPr>
        <w:t>δ</w:t>
      </w:r>
      <w:r>
        <w:t>’s</w:t>
      </w:r>
      <w:proofErr w:type="spellEnd"/>
      <w:r>
        <w:t xml:space="preserve"> defined by </w:t>
      </w:r>
      <w:r>
        <w:rPr>
          <w:i/>
          <w:sz w:val="34"/>
          <w:vertAlign w:val="superscript"/>
        </w:rPr>
        <w:t>~</w:t>
      </w:r>
      <w:r>
        <w:rPr>
          <w:i/>
        </w:rPr>
        <w:t xml:space="preserve">δ </w:t>
      </w:r>
      <w:r>
        <w:rPr>
          <w:i/>
          <w:vertAlign w:val="superscript"/>
        </w:rPr>
        <w:t>def</w:t>
      </w:r>
      <w:r>
        <w:t xml:space="preserve">= </w:t>
      </w:r>
      <w:r>
        <w:rPr>
          <w:i/>
        </w:rPr>
        <w:t>X</w:t>
      </w:r>
      <w:r>
        <w:rPr>
          <w:i/>
          <w:sz w:val="34"/>
          <w:vertAlign w:val="superscript"/>
        </w:rPr>
        <w:t xml:space="preserve">~ </w:t>
      </w:r>
      <w:r>
        <w:rPr>
          <w:vertAlign w:val="superscript"/>
        </w:rPr>
        <w:t xml:space="preserve">1 </w:t>
      </w:r>
      <w:r>
        <w:t>−</w:t>
      </w:r>
      <w:r>
        <w:t xml:space="preserve"> </w:t>
      </w:r>
      <w:r>
        <w:rPr>
          <w:i/>
        </w:rPr>
        <w:t>X</w:t>
      </w:r>
      <w:r>
        <w:rPr>
          <w:i/>
          <w:sz w:val="34"/>
          <w:vertAlign w:val="superscript"/>
        </w:rPr>
        <w:t xml:space="preserve">~ </w:t>
      </w:r>
      <w:r>
        <w:rPr>
          <w:vertAlign w:val="superscript"/>
        </w:rPr>
        <w:t>0</w:t>
      </w:r>
      <w:r>
        <w:t>.</w:t>
      </w:r>
    </w:p>
    <w:p w14:paraId="7D4398E4" w14:textId="77777777" w:rsidR="00460AFF" w:rsidRDefault="00886791">
      <w:pPr>
        <w:spacing w:line="300" w:lineRule="auto"/>
        <w:ind w:left="-15" w:right="0"/>
      </w:pPr>
      <w:r>
        <w:t xml:space="preserve">Now suppose that a consumer is located at </w:t>
      </w:r>
      <w:r>
        <w:rPr>
          <w:i/>
        </w:rPr>
        <w:t xml:space="preserve">X~ </w:t>
      </w:r>
      <w:r>
        <w:rPr>
          <w:i/>
          <w:vertAlign w:val="superscript"/>
        </w:rPr>
        <w:t xml:space="preserve">t </w:t>
      </w:r>
      <w:r>
        <w:t xml:space="preserve">at time </w:t>
      </w:r>
      <w:r>
        <w:rPr>
          <w:i/>
        </w:rPr>
        <w:t>t</w:t>
      </w:r>
      <w:r>
        <w:t xml:space="preserve">. We determine the shortest feasible step </w:t>
      </w:r>
      <w:r>
        <w:rPr>
          <w:i/>
        </w:rPr>
        <w:t xml:space="preserve">δ </w:t>
      </w:r>
      <w:r>
        <w:t>that produces a desired score increase as follows:</w:t>
      </w:r>
    </w:p>
    <w:p w14:paraId="254D6E32" w14:textId="77777777" w:rsidR="00460AFF" w:rsidRDefault="00886791">
      <w:pPr>
        <w:numPr>
          <w:ilvl w:val="0"/>
          <w:numId w:val="4"/>
        </w:numPr>
        <w:spacing w:after="58" w:line="259" w:lineRule="auto"/>
        <w:ind w:left="507" w:right="165" w:hanging="379"/>
        <w:jc w:val="center"/>
      </w:pPr>
      <w:r>
        <w:t xml:space="preserve">Classify a given record </w:t>
      </w:r>
      <w:r>
        <w:rPr>
          <w:i/>
        </w:rPr>
        <w:t xml:space="preserve">X~ </w:t>
      </w:r>
      <w:r>
        <w:rPr>
          <w:i/>
          <w:vertAlign w:val="superscript"/>
        </w:rPr>
        <w:t xml:space="preserve">t </w:t>
      </w:r>
      <w:r>
        <w:t>into a cluster based on Euclidean distance to the closest centroid</w:t>
      </w:r>
    </w:p>
    <w:p w14:paraId="2689484F" w14:textId="77777777" w:rsidR="00460AFF" w:rsidRDefault="00886791">
      <w:pPr>
        <w:spacing w:after="24" w:line="259" w:lineRule="auto"/>
        <w:ind w:left="838" w:right="0" w:firstLine="0"/>
        <w:jc w:val="left"/>
      </w:pPr>
      <w:r>
        <w:rPr>
          <w:i/>
        </w:rPr>
        <w:t>~c</w:t>
      </w:r>
      <w:r>
        <w:rPr>
          <w:i/>
          <w:vertAlign w:val="subscript"/>
        </w:rPr>
        <w:t>k</w:t>
      </w:r>
      <w:r>
        <w:t>.</w:t>
      </w:r>
    </w:p>
    <w:p w14:paraId="7BA7D7DC" w14:textId="77777777" w:rsidR="00460AFF" w:rsidRDefault="00886791">
      <w:pPr>
        <w:numPr>
          <w:ilvl w:val="0"/>
          <w:numId w:val="4"/>
        </w:numPr>
        <w:spacing w:after="79"/>
        <w:ind w:left="507" w:right="165" w:hanging="379"/>
        <w:jc w:val="center"/>
      </w:pPr>
      <w:r>
        <w:t xml:space="preserve">Using the pre-computed </w:t>
      </w:r>
      <w:r>
        <w:rPr>
          <w:i/>
        </w:rPr>
        <w:t>µ~</w:t>
      </w:r>
      <w:r>
        <w:rPr>
          <w:i/>
          <w:vertAlign w:val="subscript"/>
        </w:rPr>
        <w:t xml:space="preserve">k </w:t>
      </w:r>
      <w:r>
        <w:t xml:space="preserve">and </w:t>
      </w:r>
      <w:r>
        <w:rPr>
          <w:i/>
        </w:rPr>
        <w:t>P</w:t>
      </w:r>
      <w:r>
        <w:rPr>
          <w:i/>
          <w:vertAlign w:val="subscript"/>
        </w:rPr>
        <w:t xml:space="preserve">k </w:t>
      </w:r>
      <w:r>
        <w:t>for that cluster, solve the optimization problem</w:t>
      </w:r>
    </w:p>
    <w:p w14:paraId="711118F7" w14:textId="77777777" w:rsidR="00460AFF" w:rsidRDefault="00886791">
      <w:pPr>
        <w:tabs>
          <w:tab w:val="center" w:pos="4273"/>
          <w:tab w:val="right" w:pos="9360"/>
        </w:tabs>
        <w:spacing w:after="32" w:line="259" w:lineRule="auto"/>
        <w:ind w:left="0" w:right="-15" w:firstLine="0"/>
        <w:jc w:val="left"/>
      </w:pPr>
      <w:r>
        <w:rPr>
          <w:rFonts w:ascii="Calibri" w:eastAsia="Calibri" w:hAnsi="Calibri" w:cs="Calibri"/>
        </w:rPr>
        <w:tab/>
      </w:r>
      <w:r>
        <w:rPr>
          <w:noProof/>
        </w:rPr>
        <w:drawing>
          <wp:inline distT="0" distB="0" distL="0" distR="0" wp14:anchorId="38663E07" wp14:editId="1557B0C3">
            <wp:extent cx="2249424" cy="195072"/>
            <wp:effectExtent l="0" t="0" r="0" b="0"/>
            <wp:docPr id="15389" name="Picture 153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389" name="Picture 15389">
                      <a:extLst>
                        <a:ext uri="{C183D7F6-B498-43B3-948B-1728B52AA6E4}">
                          <adec:decorative xmlns:adec="http://schemas.microsoft.com/office/drawing/2017/decorative" val="1"/>
                        </a:ext>
                      </a:extLst>
                    </pic:cNvPr>
                    <pic:cNvPicPr/>
                  </pic:nvPicPr>
                  <pic:blipFill>
                    <a:blip r:embed="rId14"/>
                    <a:stretch>
                      <a:fillRect/>
                    </a:stretch>
                  </pic:blipFill>
                  <pic:spPr>
                    <a:xfrm>
                      <a:off x="0" y="0"/>
                      <a:ext cx="2249424" cy="195072"/>
                    </a:xfrm>
                    <a:prstGeom prst="rect">
                      <a:avLst/>
                    </a:prstGeom>
                  </pic:spPr>
                </pic:pic>
              </a:graphicData>
            </a:graphic>
          </wp:inline>
        </w:drawing>
      </w:r>
      <w:r>
        <w:t>)</w:t>
      </w:r>
      <w:r>
        <w:tab/>
        <w:t>(2)</w:t>
      </w:r>
    </w:p>
    <w:p w14:paraId="37F7BA49" w14:textId="77777777" w:rsidR="00460AFF" w:rsidRDefault="00886791">
      <w:pPr>
        <w:tabs>
          <w:tab w:val="center" w:pos="4742"/>
          <w:tab w:val="right" w:pos="9360"/>
        </w:tabs>
        <w:spacing w:after="68" w:line="259" w:lineRule="auto"/>
        <w:ind w:left="0" w:right="-15" w:firstLine="0"/>
        <w:jc w:val="left"/>
      </w:pPr>
      <w:r>
        <w:rPr>
          <w:rFonts w:ascii="Calibri" w:eastAsia="Calibri" w:hAnsi="Calibri" w:cs="Calibri"/>
        </w:rPr>
        <w:tab/>
      </w:r>
      <w:r>
        <w:t xml:space="preserve">subject to: </w:t>
      </w:r>
      <w:r>
        <w:rPr>
          <w:noProof/>
        </w:rPr>
        <w:drawing>
          <wp:inline distT="0" distB="0" distL="0" distR="0" wp14:anchorId="025C1FAE" wp14:editId="6024F231">
            <wp:extent cx="2868168" cy="195072"/>
            <wp:effectExtent l="0" t="0" r="0" b="0"/>
            <wp:docPr id="15390" name="Picture 153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390" name="Picture 15390">
                      <a:extLst>
                        <a:ext uri="{C183D7F6-B498-43B3-948B-1728B52AA6E4}">
                          <adec:decorative xmlns:adec="http://schemas.microsoft.com/office/drawing/2017/decorative" val="1"/>
                        </a:ext>
                      </a:extLst>
                    </pic:cNvPr>
                    <pic:cNvPicPr/>
                  </pic:nvPicPr>
                  <pic:blipFill>
                    <a:blip r:embed="rId15"/>
                    <a:stretch>
                      <a:fillRect/>
                    </a:stretch>
                  </pic:blipFill>
                  <pic:spPr>
                    <a:xfrm>
                      <a:off x="0" y="0"/>
                      <a:ext cx="2868168" cy="195072"/>
                    </a:xfrm>
                    <a:prstGeom prst="rect">
                      <a:avLst/>
                    </a:prstGeom>
                  </pic:spPr>
                </pic:pic>
              </a:graphicData>
            </a:graphic>
          </wp:inline>
        </w:drawing>
      </w:r>
      <w:r>
        <w:tab/>
        <w:t>(3)</w:t>
      </w:r>
    </w:p>
    <w:p w14:paraId="35B2546B" w14:textId="77777777" w:rsidR="00460AFF" w:rsidRDefault="00886791">
      <w:pPr>
        <w:spacing w:after="155"/>
        <w:ind w:left="-15" w:right="0"/>
      </w:pPr>
      <w:r>
        <w:t>We can directly solve the constrained optimization problem (2) and (3) with a constrained optimization routine. Using a constrained optimization routine has the added benefit of adding lower and upper bound constraints on the attributes (</w:t>
      </w:r>
      <w:r>
        <w:t xml:space="preserve">for example, </w:t>
      </w:r>
      <w:r>
        <w:rPr>
          <w:i/>
        </w:rPr>
        <w:t xml:space="preserve">number of inquiries on file </w:t>
      </w:r>
      <w:r>
        <w:t xml:space="preserve">≥ </w:t>
      </w:r>
      <w:r>
        <w:t xml:space="preserve">0) and integer constraints on the attributes (for example, </w:t>
      </w:r>
      <w:r>
        <w:rPr>
          <w:i/>
        </w:rPr>
        <w:t xml:space="preserve">number of inquiries on file </w:t>
      </w:r>
      <w:r>
        <w:t>must be an integer).</w:t>
      </w:r>
    </w:p>
    <w:p w14:paraId="155D54CE" w14:textId="77777777" w:rsidR="00460AFF" w:rsidRDefault="00886791">
      <w:pPr>
        <w:spacing w:after="121"/>
        <w:ind w:left="-15" w:right="0" w:firstLine="0"/>
      </w:pPr>
      <w:r>
        <w:t xml:space="preserve">3.2. </w:t>
      </w:r>
      <w:r>
        <w:rPr>
          <w:b/>
        </w:rPr>
        <w:t xml:space="preserve">Optimal Path Algorithm. </w:t>
      </w:r>
      <w:r>
        <w:t xml:space="preserve">Let us now turn to considering a </w:t>
      </w:r>
      <w:proofErr w:type="gramStart"/>
      <w:r>
        <w:t>long term</w:t>
      </w:r>
      <w:proofErr w:type="gramEnd"/>
      <w:r>
        <w:t xml:space="preserve"> goal. For example, in 12 months, </w:t>
      </w:r>
      <w:r>
        <w:t>I want to improve my financial health in an optimal manner so that my score increases from 600 to 750. This problem is easily solved by applying the MVP algorithm of section (3.1) to</w:t>
      </w:r>
    </w:p>
    <w:p w14:paraId="388B24B3" w14:textId="77777777" w:rsidR="00460AFF" w:rsidRDefault="00886791">
      <w:pPr>
        <w:ind w:left="-15" w:right="0" w:firstLine="3777"/>
      </w:pPr>
      <w:r>
        <w:rPr>
          <w:i/>
          <w:sz w:val="16"/>
        </w:rPr>
        <w:t xml:space="preserve">def </w:t>
      </w:r>
      <w:r>
        <w:rPr>
          <w:i/>
          <w:sz w:val="34"/>
          <w:vertAlign w:val="superscript"/>
        </w:rPr>
        <w:t xml:space="preserve">~ </w:t>
      </w:r>
      <w:r>
        <w:rPr>
          <w:vertAlign w:val="superscript"/>
        </w:rPr>
        <w:t xml:space="preserve">12 </w:t>
      </w:r>
      <w:r>
        <w:t>−</w:t>
      </w:r>
      <w:r>
        <w:t xml:space="preserve"> </w:t>
      </w:r>
      <w:r>
        <w:rPr>
          <w:i/>
        </w:rPr>
        <w:t>X</w:t>
      </w:r>
      <w:r>
        <w:rPr>
          <w:i/>
          <w:sz w:val="34"/>
          <w:vertAlign w:val="superscript"/>
        </w:rPr>
        <w:t xml:space="preserve">~ </w:t>
      </w:r>
      <w:r>
        <w:rPr>
          <w:vertAlign w:val="superscript"/>
        </w:rPr>
        <w:t>0</w:t>
      </w:r>
      <w:r>
        <w:t xml:space="preserve">. This will provide me the optimal 12-month the distribution of delta’s defined by </w:t>
      </w:r>
      <w:r>
        <w:rPr>
          <w:i/>
        </w:rPr>
        <w:t xml:space="preserve">~γ </w:t>
      </w:r>
      <w:r>
        <w:t xml:space="preserve">= </w:t>
      </w:r>
      <w:r>
        <w:rPr>
          <w:i/>
        </w:rPr>
        <w:t>X</w:t>
      </w:r>
    </w:p>
    <w:p w14:paraId="4D0BB3E7" w14:textId="77777777" w:rsidR="00460AFF" w:rsidRDefault="00886791">
      <w:pPr>
        <w:ind w:left="-15" w:right="0" w:firstLine="0"/>
      </w:pPr>
      <w:r>
        <w:t>path to reach my financial goal. However, how can we break this 12-month path into monthly actions to get on a path of “healthy” score improvement? For example, if th</w:t>
      </w:r>
      <w:r>
        <w:t>ere are 10 different ways for a certain consumer type to increase their score by 10 points, some paths might yield short-term score improvement before scores deteriorate due to consumers becoming overextended while other paths might yield sustainable score</w:t>
      </w:r>
      <w:r>
        <w:t xml:space="preserve"> growth.</w:t>
      </w:r>
    </w:p>
    <w:p w14:paraId="55018CB1" w14:textId="77777777" w:rsidR="00460AFF" w:rsidRDefault="00886791">
      <w:pPr>
        <w:ind w:left="-15" w:right="0"/>
      </w:pPr>
      <w:r>
        <w:t>Let us start by drawing parallels to the gradient descent numerical algorithm. Gradient descent is a first-order algorithm to find the minimum value of a function. The algorithm works by iteratively taking steps (actions) in the direction of steep</w:t>
      </w:r>
      <w:r>
        <w:t xml:space="preserve">est descent. The primary benefit of gradient descent is that you generate a sequence of steps (actions) that generate the largest short-term rewards at each step. Even if the gradient descent algorithm gets to the </w:t>
      </w:r>
      <w:proofErr w:type="gramStart"/>
      <w:r>
        <w:t>long term</w:t>
      </w:r>
      <w:proofErr w:type="gramEnd"/>
      <w:r>
        <w:t xml:space="preserve"> goal, the sequence of steps (act</w:t>
      </w:r>
      <w:r>
        <w:t xml:space="preserve">ions) are not guaranteed to be the optimal sequence of steps (actions). However, if the scoring surface is </w:t>
      </w:r>
      <w:r>
        <w:lastRenderedPageBreak/>
        <w:t>monotonic, then each step (action) of gradient descent is guaranteed to always produce an action that moves towards the global minimum.</w:t>
      </w:r>
    </w:p>
    <w:p w14:paraId="377F5218" w14:textId="77777777" w:rsidR="00460AFF" w:rsidRDefault="00886791">
      <w:pPr>
        <w:ind w:left="-15" w:right="0"/>
      </w:pPr>
      <w:r>
        <w:t>In credit sco</w:t>
      </w:r>
      <w:r>
        <w:t>ring systems, the scoring surface is usually monotonic (or at least monotonic in most every feature). In this regard, we can solve the optimal path problem by iteratively applying the single step algorithm in section (3.1) to generate a sequence of actions</w:t>
      </w:r>
      <w:r>
        <w:t xml:space="preserve"> </w:t>
      </w:r>
      <w:r>
        <w:rPr>
          <w:i/>
        </w:rPr>
        <w:t>δ</w:t>
      </w:r>
      <w:r>
        <w:rPr>
          <w:i/>
          <w:sz w:val="34"/>
          <w:vertAlign w:val="superscript"/>
        </w:rPr>
        <w:t>~</w:t>
      </w:r>
      <w:proofErr w:type="gramStart"/>
      <w:r>
        <w:rPr>
          <w:vertAlign w:val="subscript"/>
        </w:rPr>
        <w:t>1</w:t>
      </w:r>
      <w:r>
        <w:rPr>
          <w:i/>
        </w:rPr>
        <w:t>,...</w:t>
      </w:r>
      <w:proofErr w:type="gramEnd"/>
      <w:r>
        <w:rPr>
          <w:i/>
        </w:rPr>
        <w:t>,</w:t>
      </w:r>
      <w:proofErr w:type="spellStart"/>
      <w:r>
        <w:rPr>
          <w:i/>
        </w:rPr>
        <w:t>δ</w:t>
      </w:r>
      <w:r>
        <w:rPr>
          <w:i/>
          <w:sz w:val="34"/>
          <w:vertAlign w:val="superscript"/>
        </w:rPr>
        <w:t>~</w:t>
      </w:r>
      <w:r>
        <w:rPr>
          <w:i/>
          <w:vertAlign w:val="subscript"/>
        </w:rPr>
        <w:t>n</w:t>
      </w:r>
      <w:proofErr w:type="spellEnd"/>
      <w:r>
        <w:rPr>
          <w:i/>
          <w:vertAlign w:val="subscript"/>
        </w:rPr>
        <w:t xml:space="preserve"> </w:t>
      </w:r>
      <w:r>
        <w:t>that solves the sequence of problems</w:t>
      </w:r>
    </w:p>
    <w:p w14:paraId="2A7D3CDC" w14:textId="77777777" w:rsidR="00460AFF" w:rsidRDefault="00886791">
      <w:pPr>
        <w:tabs>
          <w:tab w:val="center" w:pos="4436"/>
          <w:tab w:val="right" w:pos="9360"/>
        </w:tabs>
        <w:spacing w:after="206" w:line="259" w:lineRule="auto"/>
        <w:ind w:left="0" w:right="-15" w:firstLine="0"/>
        <w:jc w:val="left"/>
      </w:pPr>
      <w:r>
        <w:rPr>
          <w:rFonts w:ascii="Calibri" w:eastAsia="Calibri" w:hAnsi="Calibri" w:cs="Calibri"/>
        </w:rPr>
        <w:tab/>
      </w:r>
      <w:r>
        <w:rPr>
          <w:noProof/>
        </w:rPr>
        <w:drawing>
          <wp:inline distT="0" distB="0" distL="0" distR="0" wp14:anchorId="35549395" wp14:editId="046C3B57">
            <wp:extent cx="2313432" cy="173736"/>
            <wp:effectExtent l="0" t="0" r="0" b="0"/>
            <wp:docPr id="15391" name="Picture 153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391" name="Picture 15391">
                      <a:extLst>
                        <a:ext uri="{C183D7F6-B498-43B3-948B-1728B52AA6E4}">
                          <adec:decorative xmlns:adec="http://schemas.microsoft.com/office/drawing/2017/decorative" val="1"/>
                        </a:ext>
                      </a:extLst>
                    </pic:cNvPr>
                    <pic:cNvPicPr/>
                  </pic:nvPicPr>
                  <pic:blipFill>
                    <a:blip r:embed="rId16"/>
                    <a:stretch>
                      <a:fillRect/>
                    </a:stretch>
                  </pic:blipFill>
                  <pic:spPr>
                    <a:xfrm>
                      <a:off x="0" y="0"/>
                      <a:ext cx="2313432" cy="173736"/>
                    </a:xfrm>
                    <a:prstGeom prst="rect">
                      <a:avLst/>
                    </a:prstGeom>
                  </pic:spPr>
                </pic:pic>
              </a:graphicData>
            </a:graphic>
          </wp:inline>
        </w:drawing>
      </w:r>
      <w:r>
        <w:t>)</w:t>
      </w:r>
      <w:r>
        <w:tab/>
        <w:t>(4)</w:t>
      </w:r>
    </w:p>
    <w:p w14:paraId="21948B1B" w14:textId="77777777" w:rsidR="00460AFF" w:rsidRDefault="00886791">
      <w:pPr>
        <w:tabs>
          <w:tab w:val="center" w:pos="4672"/>
          <w:tab w:val="right" w:pos="9360"/>
        </w:tabs>
        <w:spacing w:after="0" w:line="259" w:lineRule="auto"/>
        <w:ind w:left="0" w:right="-15" w:firstLine="0"/>
        <w:jc w:val="left"/>
      </w:pPr>
      <w:r>
        <w:rPr>
          <w:rFonts w:ascii="Calibri" w:eastAsia="Calibri" w:hAnsi="Calibri" w:cs="Calibri"/>
        </w:rPr>
        <w:tab/>
      </w:r>
      <w:r>
        <w:t xml:space="preserve">subject to: </w:t>
      </w:r>
      <w:proofErr w:type="gramStart"/>
      <w:r>
        <w:rPr>
          <w:i/>
        </w:rPr>
        <w:t>f</w:t>
      </w:r>
      <w:r>
        <w:t>(</w:t>
      </w:r>
      <w:proofErr w:type="gramEnd"/>
      <w:r>
        <w:rPr>
          <w:i/>
        </w:rPr>
        <w:t>X</w:t>
      </w:r>
      <w:r>
        <w:rPr>
          <w:i/>
          <w:sz w:val="34"/>
          <w:vertAlign w:val="superscript"/>
        </w:rPr>
        <w:t xml:space="preserve">~ </w:t>
      </w:r>
      <w:r>
        <w:rPr>
          <w:i/>
          <w:vertAlign w:val="superscript"/>
        </w:rPr>
        <w:t>t</w:t>
      </w:r>
      <w:r>
        <w:rPr>
          <w:vertAlign w:val="superscript"/>
        </w:rPr>
        <w:t>+1</w:t>
      </w:r>
      <w:r>
        <w:t xml:space="preserve">) </w:t>
      </w:r>
      <w:r>
        <w:t>−</w:t>
      </w:r>
      <w:r>
        <w:t xml:space="preserve"> </w:t>
      </w:r>
      <w:r>
        <w:rPr>
          <w:i/>
        </w:rPr>
        <w:t>f</w:t>
      </w:r>
      <w:r>
        <w:t>(</w:t>
      </w:r>
      <w:r>
        <w:rPr>
          <w:i/>
        </w:rPr>
        <w:t>X</w:t>
      </w:r>
      <w:r>
        <w:rPr>
          <w:i/>
          <w:sz w:val="34"/>
          <w:vertAlign w:val="superscript"/>
        </w:rPr>
        <w:t xml:space="preserve">~ </w:t>
      </w:r>
      <w:r>
        <w:rPr>
          <w:i/>
          <w:vertAlign w:val="superscript"/>
        </w:rPr>
        <w:t>t</w:t>
      </w:r>
      <w:r>
        <w:t xml:space="preserve">) </w:t>
      </w:r>
      <w:r>
        <w:rPr>
          <w:i/>
          <w:vertAlign w:val="superscript"/>
        </w:rPr>
        <w:t>def</w:t>
      </w:r>
      <w:r>
        <w:t xml:space="preserve">= </w:t>
      </w:r>
      <w:r>
        <w:rPr>
          <w:i/>
        </w:rPr>
        <w:t>f</w:t>
      </w:r>
      <w:r>
        <w:t>(</w:t>
      </w:r>
      <w:r>
        <w:rPr>
          <w:i/>
        </w:rPr>
        <w:t>X</w:t>
      </w:r>
      <w:r>
        <w:rPr>
          <w:i/>
          <w:sz w:val="34"/>
          <w:vertAlign w:val="superscript"/>
        </w:rPr>
        <w:t xml:space="preserve">~ </w:t>
      </w:r>
      <w:r>
        <w:rPr>
          <w:i/>
          <w:vertAlign w:val="superscript"/>
        </w:rPr>
        <w:t xml:space="preserve">t </w:t>
      </w:r>
      <w:r>
        <w:t>+</w:t>
      </w:r>
      <w:r>
        <w:rPr>
          <w:i/>
          <w:sz w:val="34"/>
          <w:vertAlign w:val="superscript"/>
        </w:rPr>
        <w:t>~</w:t>
      </w:r>
      <w:proofErr w:type="spellStart"/>
      <w:r>
        <w:rPr>
          <w:i/>
        </w:rPr>
        <w:t>δ</w:t>
      </w:r>
      <w:r>
        <w:rPr>
          <w:i/>
          <w:vertAlign w:val="superscript"/>
        </w:rPr>
        <w:t>t</w:t>
      </w:r>
      <w:proofErr w:type="spellEnd"/>
      <w:r>
        <w:t xml:space="preserve">) </w:t>
      </w:r>
      <w:r>
        <w:t>−</w:t>
      </w:r>
      <w:r>
        <w:t xml:space="preserve"> </w:t>
      </w:r>
      <w:r>
        <w:rPr>
          <w:i/>
        </w:rPr>
        <w:t>f</w:t>
      </w:r>
      <w:r>
        <w:t>(</w:t>
      </w:r>
      <w:r>
        <w:rPr>
          <w:i/>
        </w:rPr>
        <w:t>X</w:t>
      </w:r>
      <w:r>
        <w:rPr>
          <w:i/>
          <w:sz w:val="34"/>
          <w:vertAlign w:val="superscript"/>
        </w:rPr>
        <w:t xml:space="preserve">~ </w:t>
      </w:r>
      <w:r>
        <w:rPr>
          <w:i/>
          <w:vertAlign w:val="superscript"/>
        </w:rPr>
        <w:t>t</w:t>
      </w:r>
      <w:r>
        <w:t xml:space="preserve">) = </w:t>
      </w:r>
      <w:r>
        <w:rPr>
          <w:i/>
        </w:rPr>
        <w:t>C</w:t>
      </w:r>
      <w:r>
        <w:rPr>
          <w:i/>
        </w:rPr>
        <w:tab/>
      </w:r>
      <w:r>
        <w:t>(5)</w:t>
      </w:r>
    </w:p>
    <w:p w14:paraId="5AA953B6" w14:textId="77777777" w:rsidR="00460AFF" w:rsidRDefault="00886791">
      <w:pPr>
        <w:spacing w:after="32" w:line="259" w:lineRule="auto"/>
        <w:ind w:left="10" w:right="-15" w:hanging="10"/>
        <w:jc w:val="right"/>
      </w:pPr>
      <w:r>
        <w:t>Drawing parallels to gradient descent again, we are not guaranteed that</w:t>
      </w:r>
      <w:r>
        <w:rPr>
          <w:noProof/>
        </w:rPr>
        <w:drawing>
          <wp:inline distT="0" distB="0" distL="0" distR="0" wp14:anchorId="2A9336EB" wp14:editId="472D1D8C">
            <wp:extent cx="1490472" cy="167640"/>
            <wp:effectExtent l="0" t="0" r="0" b="0"/>
            <wp:docPr id="15392" name="Picture 153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392" name="Picture 15392">
                      <a:extLst>
                        <a:ext uri="{C183D7F6-B498-43B3-948B-1728B52AA6E4}">
                          <adec:decorative xmlns:adec="http://schemas.microsoft.com/office/drawing/2017/decorative" val="1"/>
                        </a:ext>
                      </a:extLst>
                    </pic:cNvPr>
                    <pic:cNvPicPr/>
                  </pic:nvPicPr>
                  <pic:blipFill>
                    <a:blip r:embed="rId17"/>
                    <a:stretch>
                      <a:fillRect/>
                    </a:stretch>
                  </pic:blipFill>
                  <pic:spPr>
                    <a:xfrm>
                      <a:off x="0" y="0"/>
                      <a:ext cx="1490472" cy="167640"/>
                    </a:xfrm>
                    <a:prstGeom prst="rect">
                      <a:avLst/>
                    </a:prstGeom>
                  </pic:spPr>
                </pic:pic>
              </a:graphicData>
            </a:graphic>
          </wp:inline>
        </w:drawing>
      </w:r>
      <w:r>
        <w:t>.</w:t>
      </w:r>
    </w:p>
    <w:p w14:paraId="2CFD6335" w14:textId="77777777" w:rsidR="00460AFF" w:rsidRDefault="00886791">
      <w:pPr>
        <w:spacing w:after="169"/>
        <w:ind w:left="-15" w:right="0" w:firstLine="0"/>
      </w:pPr>
      <w:r>
        <w:t xml:space="preserve">However, we are guaranteed that </w:t>
      </w:r>
      <w:proofErr w:type="gramStart"/>
      <w:r>
        <w:rPr>
          <w:i/>
        </w:rPr>
        <w:t>f</w:t>
      </w:r>
      <w:r>
        <w:t>(</w:t>
      </w:r>
      <w:proofErr w:type="gramEnd"/>
      <w:r>
        <w:rPr>
          <w:i/>
        </w:rPr>
        <w:t>X</w:t>
      </w:r>
      <w:r>
        <w:rPr>
          <w:i/>
          <w:sz w:val="34"/>
          <w:vertAlign w:val="superscript"/>
        </w:rPr>
        <w:t xml:space="preserve">~ </w:t>
      </w:r>
      <w:r>
        <w:rPr>
          <w:vertAlign w:val="superscript"/>
        </w:rPr>
        <w:t>0</w:t>
      </w:r>
      <w:r>
        <w:t>+</w:t>
      </w:r>
      <w:r>
        <w:rPr>
          <w:i/>
        </w:rPr>
        <w:t>~γ</w:t>
      </w:r>
      <w:r>
        <w:t xml:space="preserve">) = </w:t>
      </w:r>
      <w:r>
        <w:rPr>
          <w:i/>
        </w:rPr>
        <w:t>f</w:t>
      </w:r>
      <w:r>
        <w:t>(</w:t>
      </w:r>
      <w:r>
        <w:rPr>
          <w:i/>
        </w:rPr>
        <w:t>X</w:t>
      </w:r>
      <w:r>
        <w:rPr>
          <w:i/>
          <w:sz w:val="34"/>
          <w:vertAlign w:val="superscript"/>
        </w:rPr>
        <w:t xml:space="preserve">~ </w:t>
      </w:r>
      <w:r>
        <w:rPr>
          <w:vertAlign w:val="superscript"/>
        </w:rPr>
        <w:t>0</w:t>
      </w:r>
      <w:r>
        <w:t>+</w:t>
      </w:r>
      <w:r>
        <w:rPr>
          <w:i/>
        </w:rPr>
        <w:t>δ</w:t>
      </w:r>
      <w:r>
        <w:rPr>
          <w:i/>
          <w:sz w:val="34"/>
          <w:vertAlign w:val="superscript"/>
        </w:rPr>
        <w:t>~</w:t>
      </w:r>
      <w:r>
        <w:rPr>
          <w:vertAlign w:val="subscript"/>
        </w:rPr>
        <w:t>1</w:t>
      </w:r>
      <w:r>
        <w:t>+</w:t>
      </w:r>
      <w:r>
        <w:t>···</w:t>
      </w:r>
      <w:r>
        <w:t>+</w:t>
      </w:r>
      <w:proofErr w:type="spellStart"/>
      <w:r>
        <w:rPr>
          <w:i/>
        </w:rPr>
        <w:t>δ</w:t>
      </w:r>
      <w:r>
        <w:rPr>
          <w:i/>
          <w:sz w:val="34"/>
          <w:vertAlign w:val="superscript"/>
        </w:rPr>
        <w:t>~</w:t>
      </w:r>
      <w:r>
        <w:rPr>
          <w:i/>
          <w:vertAlign w:val="subscript"/>
        </w:rPr>
        <w:t>n</w:t>
      </w:r>
      <w:proofErr w:type="spellEnd"/>
      <w:r>
        <w:t>). Moreover, if the scoring surface is monotonic, then we can be guaranteed that each action</w:t>
      </w:r>
      <w:r>
        <w:rPr>
          <w:noProof/>
        </w:rPr>
        <w:drawing>
          <wp:inline distT="0" distB="0" distL="0" distR="0" wp14:anchorId="0003D027" wp14:editId="28D34C64">
            <wp:extent cx="97536" cy="161544"/>
            <wp:effectExtent l="0" t="0" r="0" b="0"/>
            <wp:docPr id="15393" name="Picture 153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393" name="Picture 15393">
                      <a:extLst>
                        <a:ext uri="{C183D7F6-B498-43B3-948B-1728B52AA6E4}">
                          <adec:decorative xmlns:adec="http://schemas.microsoft.com/office/drawing/2017/decorative" val="1"/>
                        </a:ext>
                      </a:extLst>
                    </pic:cNvPr>
                    <pic:cNvPicPr/>
                  </pic:nvPicPr>
                  <pic:blipFill>
                    <a:blip r:embed="rId18"/>
                    <a:stretch>
                      <a:fillRect/>
                    </a:stretch>
                  </pic:blipFill>
                  <pic:spPr>
                    <a:xfrm>
                      <a:off x="0" y="0"/>
                      <a:ext cx="97536" cy="161544"/>
                    </a:xfrm>
                    <a:prstGeom prst="rect">
                      <a:avLst/>
                    </a:prstGeom>
                  </pic:spPr>
                </pic:pic>
              </a:graphicData>
            </a:graphic>
          </wp:inline>
        </w:drawing>
      </w:r>
      <w:r>
        <w:t xml:space="preserve"> is a financially healthy </w:t>
      </w:r>
      <w:r>
        <w:t>step.</w:t>
      </w:r>
    </w:p>
    <w:p w14:paraId="0FD3A5EC" w14:textId="77777777" w:rsidR="00460AFF" w:rsidRDefault="00886791">
      <w:pPr>
        <w:spacing w:after="29"/>
        <w:ind w:left="-15" w:right="0" w:firstLine="0"/>
      </w:pPr>
      <w:r>
        <w:t xml:space="preserve">3.3. </w:t>
      </w:r>
      <w:r>
        <w:rPr>
          <w:b/>
        </w:rPr>
        <w:t xml:space="preserve">Examples. </w:t>
      </w:r>
      <w:r>
        <w:t xml:space="preserve">We now turn to some examples of the optimal path algorithm given by equations (4) and (5). We start by simulating a 3-dimensional scoring surface example depicted in Figure (4). The scoring surface </w:t>
      </w:r>
      <w:r>
        <w:rPr>
          <w:i/>
        </w:rPr>
        <w:t>f</w:t>
      </w:r>
      <w:r>
        <w:t>(</w:t>
      </w:r>
      <w:r>
        <w:rPr>
          <w:i/>
        </w:rPr>
        <w:t>x</w:t>
      </w:r>
      <w:proofErr w:type="gramStart"/>
      <w:r>
        <w:rPr>
          <w:vertAlign w:val="subscript"/>
        </w:rPr>
        <w:t>1</w:t>
      </w:r>
      <w:r>
        <w:rPr>
          <w:i/>
        </w:rPr>
        <w:t>,x</w:t>
      </w:r>
      <w:proofErr w:type="gramEnd"/>
      <w:r>
        <w:rPr>
          <w:vertAlign w:val="subscript"/>
        </w:rPr>
        <w:t>2</w:t>
      </w:r>
      <w:r>
        <w:t xml:space="preserve">) = 1 </w:t>
      </w:r>
      <w:r>
        <w:t>∗</w:t>
      </w:r>
      <w:r>
        <w:t xml:space="preserve"> </w:t>
      </w:r>
      <w:r>
        <w:rPr>
          <w:i/>
        </w:rPr>
        <w:t>x</w:t>
      </w:r>
      <w:r>
        <w:rPr>
          <w:vertAlign w:val="subscript"/>
        </w:rPr>
        <w:t xml:space="preserve">1 </w:t>
      </w:r>
      <w:r>
        <w:t>+ 0</w:t>
      </w:r>
      <w:r>
        <w:rPr>
          <w:i/>
        </w:rPr>
        <w:t>.</w:t>
      </w:r>
      <w:r>
        <w:t xml:space="preserve">1 </w:t>
      </w:r>
      <w:r>
        <w:t>∗</w:t>
      </w:r>
      <w:r>
        <w:t xml:space="preserve"> </w:t>
      </w:r>
      <w:r>
        <w:rPr>
          <w:i/>
        </w:rPr>
        <w:t>x</w:t>
      </w:r>
      <w:r>
        <w:rPr>
          <w:vertAlign w:val="subscript"/>
        </w:rPr>
        <w:t xml:space="preserve">2 </w:t>
      </w:r>
      <w:r>
        <w:t xml:space="preserve">+ 1 </w:t>
      </w:r>
      <w:r>
        <w:t>∗</w:t>
      </w:r>
      <w:r>
        <w:t xml:space="preserve"> </w:t>
      </w:r>
      <w:r>
        <w:rPr>
          <w:i/>
        </w:rPr>
        <w:t>x</w:t>
      </w:r>
      <w:r>
        <w:rPr>
          <w:vertAlign w:val="subscript"/>
        </w:rPr>
        <w:t>1</w:t>
      </w:r>
      <w:r>
        <w:rPr>
          <w:vertAlign w:val="subscript"/>
        </w:rPr>
        <w:t xml:space="preserve"> </w:t>
      </w:r>
      <w:r>
        <w:t>∗</w:t>
      </w:r>
      <w:r>
        <w:t xml:space="preserve"> </w:t>
      </w:r>
      <w:r>
        <w:rPr>
          <w:i/>
        </w:rPr>
        <w:t>x</w:t>
      </w:r>
      <w:r>
        <w:rPr>
          <w:vertAlign w:val="subscript"/>
        </w:rPr>
        <w:t xml:space="preserve">2 </w:t>
      </w:r>
      <w:r>
        <w:t xml:space="preserve">is a linear regression with interaction term </w:t>
      </w:r>
      <w:r>
        <w:rPr>
          <w:i/>
        </w:rPr>
        <w:t>x</w:t>
      </w:r>
      <w:r>
        <w:rPr>
          <w:vertAlign w:val="subscript"/>
        </w:rPr>
        <w:t xml:space="preserve">1 </w:t>
      </w:r>
      <w:r>
        <w:t>∗</w:t>
      </w:r>
      <w:r>
        <w:t xml:space="preserve"> </w:t>
      </w:r>
      <w:r>
        <w:rPr>
          <w:i/>
        </w:rPr>
        <w:t>x</w:t>
      </w:r>
      <w:r>
        <w:rPr>
          <w:vertAlign w:val="subscript"/>
        </w:rPr>
        <w:t>2</w:t>
      </w:r>
      <w:r>
        <w:t xml:space="preserve">. The attributes </w:t>
      </w:r>
      <w:r>
        <w:rPr>
          <w:i/>
        </w:rPr>
        <w:t>x</w:t>
      </w:r>
      <w:r>
        <w:rPr>
          <w:vertAlign w:val="subscript"/>
        </w:rPr>
        <w:t xml:space="preserve">1 </w:t>
      </w:r>
      <w:r>
        <w:t xml:space="preserve">and </w:t>
      </w:r>
      <w:r>
        <w:rPr>
          <w:i/>
        </w:rPr>
        <w:t>x</w:t>
      </w:r>
      <w:r>
        <w:rPr>
          <w:vertAlign w:val="subscript"/>
        </w:rPr>
        <w:t xml:space="preserve">2 </w:t>
      </w:r>
      <w:r>
        <w:t xml:space="preserve">covary in a parabolic manner as depicted in the top two graphs of Figure (5). Across time (Figure (5) second row), </w:t>
      </w:r>
      <w:r>
        <w:rPr>
          <w:i/>
        </w:rPr>
        <w:t>x</w:t>
      </w:r>
      <w:r>
        <w:rPr>
          <w:vertAlign w:val="subscript"/>
        </w:rPr>
        <w:t xml:space="preserve">1 </w:t>
      </w:r>
      <w:r>
        <w:t xml:space="preserve">does not have a lot of variance while </w:t>
      </w:r>
      <w:r>
        <w:rPr>
          <w:i/>
        </w:rPr>
        <w:t>x</w:t>
      </w:r>
      <w:r>
        <w:rPr>
          <w:vertAlign w:val="subscript"/>
        </w:rPr>
        <w:t xml:space="preserve">2 </w:t>
      </w:r>
      <w:r>
        <w:t xml:space="preserve">does. Suppose a consumer is located at the red dot on the scoring surface in Figure (4) at time </w:t>
      </w:r>
      <w:r>
        <w:rPr>
          <w:i/>
        </w:rPr>
        <w:t>t</w:t>
      </w:r>
      <w:r>
        <w:rPr>
          <w:i/>
        </w:rPr>
        <w:t xml:space="preserve"> </w:t>
      </w:r>
      <w:r>
        <w:t xml:space="preserve">= 0 and desires to reach the scoring threshold given by the yellow contour line at a future time. If we ignore that </w:t>
      </w:r>
      <w:r>
        <w:rPr>
          <w:i/>
        </w:rPr>
        <w:t>x</w:t>
      </w:r>
      <w:r>
        <w:rPr>
          <w:vertAlign w:val="subscript"/>
        </w:rPr>
        <w:t xml:space="preserve">1 </w:t>
      </w:r>
      <w:r>
        <w:t xml:space="preserve">and </w:t>
      </w:r>
      <w:r>
        <w:rPr>
          <w:i/>
        </w:rPr>
        <w:t>x</w:t>
      </w:r>
      <w:r>
        <w:rPr>
          <w:vertAlign w:val="subscript"/>
        </w:rPr>
        <w:t xml:space="preserve">2 </w:t>
      </w:r>
      <w:r>
        <w:t xml:space="preserve">covary together and that </w:t>
      </w:r>
      <w:r>
        <w:rPr>
          <w:i/>
        </w:rPr>
        <w:t>x</w:t>
      </w:r>
      <w:r>
        <w:rPr>
          <w:vertAlign w:val="subscript"/>
        </w:rPr>
        <w:t xml:space="preserve">1 </w:t>
      </w:r>
      <w:r>
        <w:t>has little variance across time, we could apply gradient descent to determine a path to reach the des</w:t>
      </w:r>
      <w:r>
        <w:t>ired scoring threshold. The gradient descent</w:t>
      </w:r>
    </w:p>
    <w:p w14:paraId="45911504" w14:textId="77777777" w:rsidR="00460AFF" w:rsidRDefault="00886791">
      <w:pPr>
        <w:spacing w:after="270" w:line="259" w:lineRule="auto"/>
        <w:ind w:left="1542" w:right="0" w:firstLine="0"/>
        <w:jc w:val="left"/>
      </w:pPr>
      <w:r>
        <w:rPr>
          <w:noProof/>
        </w:rPr>
        <w:drawing>
          <wp:inline distT="0" distB="0" distL="0" distR="0" wp14:anchorId="35741638" wp14:editId="5C547C98">
            <wp:extent cx="3984648" cy="3452949"/>
            <wp:effectExtent l="0" t="0" r="0" b="0"/>
            <wp:docPr id="983" name="Picture 983" descr="Figure 4. Path of gradient descent (blue) and Mahalanobis metric (black) over time from a consumer’s current score (f(X0) at time t = 0, red dot) to a specified score (f(X13) = constant at time t = 13, yellow line) with a score increase of 0.025 units in each time period."/>
            <wp:cNvGraphicFramePr/>
            <a:graphic xmlns:a="http://schemas.openxmlformats.org/drawingml/2006/main">
              <a:graphicData uri="http://schemas.openxmlformats.org/drawingml/2006/picture">
                <pic:pic xmlns:pic="http://schemas.openxmlformats.org/drawingml/2006/picture">
                  <pic:nvPicPr>
                    <pic:cNvPr id="983" name="Picture 983" descr="Figure 4. Path of gradient descent (blue) and Mahalanobis metric (black) over time from a consumer’s current score (f(X0) at time t = 0, red dot) to a specified score (f(X13) = constant at time t = 13, yellow line) with a score increase of 0.025 units in each time period."/>
                    <pic:cNvPicPr/>
                  </pic:nvPicPr>
                  <pic:blipFill>
                    <a:blip r:embed="rId19"/>
                    <a:stretch>
                      <a:fillRect/>
                    </a:stretch>
                  </pic:blipFill>
                  <pic:spPr>
                    <a:xfrm>
                      <a:off x="0" y="0"/>
                      <a:ext cx="3984648" cy="3452949"/>
                    </a:xfrm>
                    <a:prstGeom prst="rect">
                      <a:avLst/>
                    </a:prstGeom>
                  </pic:spPr>
                </pic:pic>
              </a:graphicData>
            </a:graphic>
          </wp:inline>
        </w:drawing>
      </w:r>
    </w:p>
    <w:p w14:paraId="69E022D3" w14:textId="77777777" w:rsidR="00460AFF" w:rsidRDefault="00886791">
      <w:pPr>
        <w:ind w:left="717" w:right="717" w:firstLine="0"/>
      </w:pPr>
      <w:r>
        <w:rPr>
          <w:rFonts w:ascii="Calibri" w:eastAsia="Calibri" w:hAnsi="Calibri" w:cs="Calibri"/>
        </w:rPr>
        <w:t xml:space="preserve">Figure 4. </w:t>
      </w:r>
      <w:r>
        <w:t xml:space="preserve">Path of gradient descent (blue) and </w:t>
      </w:r>
      <w:proofErr w:type="spellStart"/>
      <w:r>
        <w:t>Mahalanobis</w:t>
      </w:r>
      <w:proofErr w:type="spellEnd"/>
      <w:r>
        <w:t xml:space="preserve"> metric (black) over time from a consumer’s current score (</w:t>
      </w:r>
      <w:r>
        <w:rPr>
          <w:i/>
        </w:rPr>
        <w:t>f</w:t>
      </w:r>
      <w:r>
        <w:t>(</w:t>
      </w:r>
      <w:r>
        <w:rPr>
          <w:i/>
        </w:rPr>
        <w:t>X</w:t>
      </w:r>
      <w:r>
        <w:rPr>
          <w:vertAlign w:val="superscript"/>
        </w:rPr>
        <w:t>0</w:t>
      </w:r>
      <w:r>
        <w:t xml:space="preserve">) at time </w:t>
      </w:r>
      <w:r>
        <w:rPr>
          <w:i/>
        </w:rPr>
        <w:t xml:space="preserve">t </w:t>
      </w:r>
      <w:r>
        <w:t>= 0, red dot) to a specified score (</w:t>
      </w:r>
      <w:r>
        <w:rPr>
          <w:i/>
        </w:rPr>
        <w:t>f</w:t>
      </w:r>
      <w:r>
        <w:t>(</w:t>
      </w:r>
      <w:r>
        <w:rPr>
          <w:i/>
        </w:rPr>
        <w:t>X</w:t>
      </w:r>
      <w:r>
        <w:rPr>
          <w:vertAlign w:val="superscript"/>
        </w:rPr>
        <w:t>13</w:t>
      </w:r>
      <w:r>
        <w:t xml:space="preserve">) </w:t>
      </w:r>
      <w:r>
        <w:lastRenderedPageBreak/>
        <w:t xml:space="preserve">= </w:t>
      </w:r>
      <w:r>
        <w:rPr>
          <w:i/>
        </w:rPr>
        <w:t xml:space="preserve">constant </w:t>
      </w:r>
      <w:r>
        <w:t xml:space="preserve">at time </w:t>
      </w:r>
      <w:r>
        <w:rPr>
          <w:i/>
        </w:rPr>
        <w:t xml:space="preserve">t </w:t>
      </w:r>
      <w:r>
        <w:t xml:space="preserve">= 13, yellow </w:t>
      </w:r>
      <w:r>
        <w:t>line) with a score increase of 0.025 units in each time period.</w:t>
      </w:r>
    </w:p>
    <w:p w14:paraId="56A4F9D4" w14:textId="77777777" w:rsidR="00460AFF" w:rsidRDefault="00886791">
      <w:pPr>
        <w:spacing w:after="260" w:line="259" w:lineRule="auto"/>
        <w:ind w:left="1718" w:right="0" w:firstLine="0"/>
        <w:jc w:val="left"/>
      </w:pPr>
      <w:r>
        <w:rPr>
          <w:noProof/>
        </w:rPr>
        <w:drawing>
          <wp:inline distT="0" distB="0" distL="0" distR="0" wp14:anchorId="2DA3ACD2" wp14:editId="368C10DA">
            <wp:extent cx="3762375" cy="2986088"/>
            <wp:effectExtent l="0" t="0" r="0" b="0"/>
            <wp:docPr id="1006" name="Picture 1006" descr="Simulated variables x1 and x2 covary in a parabolic manner, while x1 has little variance across time and x2 has moderate variance across time."/>
            <wp:cNvGraphicFramePr/>
            <a:graphic xmlns:a="http://schemas.openxmlformats.org/drawingml/2006/main">
              <a:graphicData uri="http://schemas.openxmlformats.org/drawingml/2006/picture">
                <pic:pic xmlns:pic="http://schemas.openxmlformats.org/drawingml/2006/picture">
                  <pic:nvPicPr>
                    <pic:cNvPr id="1006" name="Picture 1006" descr="Simulated variables x1 and x2 covary in a parabolic manner, while x1 has little variance across time and x2 has moderate variance across time."/>
                    <pic:cNvPicPr/>
                  </pic:nvPicPr>
                  <pic:blipFill>
                    <a:blip r:embed="rId20"/>
                    <a:stretch>
                      <a:fillRect/>
                    </a:stretch>
                  </pic:blipFill>
                  <pic:spPr>
                    <a:xfrm>
                      <a:off x="0" y="0"/>
                      <a:ext cx="3762375" cy="2986088"/>
                    </a:xfrm>
                    <a:prstGeom prst="rect">
                      <a:avLst/>
                    </a:prstGeom>
                  </pic:spPr>
                </pic:pic>
              </a:graphicData>
            </a:graphic>
          </wp:inline>
        </w:drawing>
      </w:r>
    </w:p>
    <w:p w14:paraId="1211198D" w14:textId="77777777" w:rsidR="00460AFF" w:rsidRDefault="00886791">
      <w:pPr>
        <w:spacing w:after="39"/>
        <w:ind w:left="717" w:right="411" w:firstLine="0"/>
      </w:pPr>
      <w:r>
        <w:rPr>
          <w:rFonts w:ascii="Calibri" w:eastAsia="Calibri" w:hAnsi="Calibri" w:cs="Calibri"/>
        </w:rPr>
        <w:t xml:space="preserve">Figure 5. </w:t>
      </w:r>
      <w:r>
        <w:t xml:space="preserve">Simulated variables </w:t>
      </w:r>
      <w:r>
        <w:rPr>
          <w:i/>
        </w:rPr>
        <w:t>x</w:t>
      </w:r>
      <w:r>
        <w:rPr>
          <w:vertAlign w:val="subscript"/>
        </w:rPr>
        <w:t xml:space="preserve">1 </w:t>
      </w:r>
      <w:r>
        <w:t xml:space="preserve">and </w:t>
      </w:r>
      <w:r>
        <w:rPr>
          <w:i/>
        </w:rPr>
        <w:t>x</w:t>
      </w:r>
      <w:r>
        <w:rPr>
          <w:vertAlign w:val="subscript"/>
        </w:rPr>
        <w:t xml:space="preserve">2 </w:t>
      </w:r>
      <w:r>
        <w:t xml:space="preserve">covary in a parabolic manner, while </w:t>
      </w:r>
      <w:r>
        <w:rPr>
          <w:i/>
        </w:rPr>
        <w:t>x</w:t>
      </w:r>
      <w:r>
        <w:rPr>
          <w:vertAlign w:val="subscript"/>
        </w:rPr>
        <w:t xml:space="preserve">1 </w:t>
      </w:r>
      <w:r>
        <w:t xml:space="preserve">has little variance across time and </w:t>
      </w:r>
      <w:r>
        <w:rPr>
          <w:i/>
        </w:rPr>
        <w:t>x</w:t>
      </w:r>
      <w:r>
        <w:rPr>
          <w:vertAlign w:val="subscript"/>
        </w:rPr>
        <w:t xml:space="preserve">2 </w:t>
      </w:r>
      <w:r>
        <w:t>has moderate variance across time.</w:t>
      </w:r>
    </w:p>
    <w:p w14:paraId="350E0067" w14:textId="77777777" w:rsidR="00460AFF" w:rsidRDefault="00886791">
      <w:pPr>
        <w:spacing w:after="270" w:line="259" w:lineRule="auto"/>
        <w:ind w:left="2160" w:right="0" w:firstLine="0"/>
        <w:jc w:val="left"/>
      </w:pPr>
      <w:r>
        <w:rPr>
          <w:noProof/>
        </w:rPr>
        <w:drawing>
          <wp:inline distT="0" distB="0" distL="0" distR="0" wp14:anchorId="0B8B340C" wp14:editId="0CA856F0">
            <wp:extent cx="3200400" cy="2286000"/>
            <wp:effectExtent l="0" t="0" r="0" b="0"/>
            <wp:docPr id="1032" name="Picture 1032" descr="95% prediction intervals are depicted for the δ’s of two different clusters. In the red cluster, consumers on average do not experience a change in the number of inquiries in 1 month and in 12 months. If a change occurs, the change in each coordinate are very positively correlated. This is typical of consumers that have old inquiries that are about to roll off the 12 month file. In the blue cluster, consumers on average do experience a change in the number of inquiries in 1 month but not in 12 months. This is typical of consumers who have a recent inquiry that rolls off the 1 month file but not the 12 month file."/>
            <wp:cNvGraphicFramePr/>
            <a:graphic xmlns:a="http://schemas.openxmlformats.org/drawingml/2006/main">
              <a:graphicData uri="http://schemas.openxmlformats.org/drawingml/2006/picture">
                <pic:pic xmlns:pic="http://schemas.openxmlformats.org/drawingml/2006/picture">
                  <pic:nvPicPr>
                    <pic:cNvPr id="1032" name="Picture 1032" descr="95% prediction intervals are depicted for the δ’s of two different clusters. In the red cluster, consumers on average do not experience a change in the number of inquiries in 1 month and in 12 months. If a change occurs, the change in each coordinate are very positively correlated. This is typical of consumers that have old inquiries that are about to roll off the 12 month file. In the blue cluster, consumers on average do experience a change in the number of inquiries in 1 month but not in 12 months. This is typical of consumers who have a recent inquiry that rolls off the 1 month file but not the 12 month file."/>
                    <pic:cNvPicPr/>
                  </pic:nvPicPr>
                  <pic:blipFill>
                    <a:blip r:embed="rId21"/>
                    <a:stretch>
                      <a:fillRect/>
                    </a:stretch>
                  </pic:blipFill>
                  <pic:spPr>
                    <a:xfrm>
                      <a:off x="0" y="0"/>
                      <a:ext cx="3200400" cy="2286000"/>
                    </a:xfrm>
                    <a:prstGeom prst="rect">
                      <a:avLst/>
                    </a:prstGeom>
                  </pic:spPr>
                </pic:pic>
              </a:graphicData>
            </a:graphic>
          </wp:inline>
        </w:drawing>
      </w:r>
    </w:p>
    <w:p w14:paraId="75324283" w14:textId="77777777" w:rsidR="00460AFF" w:rsidRDefault="00886791">
      <w:pPr>
        <w:spacing w:after="595"/>
        <w:ind w:left="717" w:right="717" w:firstLine="0"/>
      </w:pPr>
      <w:r>
        <w:rPr>
          <w:rFonts w:ascii="Calibri" w:eastAsia="Calibri" w:hAnsi="Calibri" w:cs="Calibri"/>
        </w:rPr>
        <w:t xml:space="preserve">Figure 6. </w:t>
      </w:r>
      <w:r>
        <w:t xml:space="preserve">95% prediction intervals are depicted for the </w:t>
      </w:r>
      <w:proofErr w:type="spellStart"/>
      <w:r>
        <w:rPr>
          <w:i/>
        </w:rPr>
        <w:t>δ</w:t>
      </w:r>
      <w:r>
        <w:t>’s</w:t>
      </w:r>
      <w:proofErr w:type="spellEnd"/>
      <w:r>
        <w:t xml:space="preserve"> of two different clusters. In the red cluster, consumers on average do not experience a change in the number of inquiries in 1 month and in 12 months. If a change occurs, the change in each coordinate are v</w:t>
      </w:r>
      <w:r>
        <w:t xml:space="preserve">ery positively correlated. This is typical of consumers that have old inquiries that are about to roll off the </w:t>
      </w:r>
      <w:proofErr w:type="gramStart"/>
      <w:r>
        <w:t>12 month</w:t>
      </w:r>
      <w:proofErr w:type="gramEnd"/>
      <w:r>
        <w:t xml:space="preserve"> file. In the blue cluster, consumers on average do experience a change in the number of inquiries in 1 month but not in 12 months. This </w:t>
      </w:r>
      <w:r>
        <w:t xml:space="preserve">is typical of consumers who have a recent inquiry that rolls off the </w:t>
      </w:r>
      <w:proofErr w:type="gramStart"/>
      <w:r>
        <w:t>1 month</w:t>
      </w:r>
      <w:proofErr w:type="gramEnd"/>
      <w:r>
        <w:t xml:space="preserve"> file but not the 12 month file.</w:t>
      </w:r>
    </w:p>
    <w:p w14:paraId="242E864A" w14:textId="77777777" w:rsidR="00460AFF" w:rsidRDefault="00886791">
      <w:pPr>
        <w:ind w:left="-15" w:right="0" w:firstLine="0"/>
      </w:pPr>
      <w:r>
        <w:lastRenderedPageBreak/>
        <w:t>path is depicted by the blue line in Figure (4). In this example, it converges to a point that is feasible at the portfolio level. This may not alw</w:t>
      </w:r>
      <w:r>
        <w:t>ays be the case. It could readily converge to a point that is not represented by the data. While one could add a penalization term to the optimization algorithm that penalizes movements away from observed data manifold, we are still missing a very importan</w:t>
      </w:r>
      <w:r>
        <w:t xml:space="preserve">t aspect, and that is consumer level feasibility. The gradient descent algorithm focuses most of the movement on </w:t>
      </w:r>
      <w:proofErr w:type="gramStart"/>
      <w:r>
        <w:rPr>
          <w:i/>
        </w:rPr>
        <w:t>x</w:t>
      </w:r>
      <w:r>
        <w:rPr>
          <w:vertAlign w:val="subscript"/>
        </w:rPr>
        <w:t>1</w:t>
      </w:r>
      <w:r>
        <w:t>, since</w:t>
      </w:r>
      <w:proofErr w:type="gramEnd"/>
      <w:r>
        <w:t xml:space="preserve"> the gradient is much steeper in the </w:t>
      </w:r>
      <w:r>
        <w:rPr>
          <w:i/>
        </w:rPr>
        <w:t>x</w:t>
      </w:r>
      <w:r>
        <w:rPr>
          <w:vertAlign w:val="subscript"/>
        </w:rPr>
        <w:t xml:space="preserve">1 </w:t>
      </w:r>
      <w:r>
        <w:t xml:space="preserve">direction. However, we know that </w:t>
      </w:r>
      <w:r>
        <w:rPr>
          <w:i/>
        </w:rPr>
        <w:t>x</w:t>
      </w:r>
      <w:r>
        <w:rPr>
          <w:vertAlign w:val="subscript"/>
        </w:rPr>
        <w:t xml:space="preserve">1 </w:t>
      </w:r>
      <w:r>
        <w:t xml:space="preserve">has very little variance across time. Since </w:t>
      </w:r>
      <w:r>
        <w:rPr>
          <w:i/>
        </w:rPr>
        <w:t>x</w:t>
      </w:r>
      <w:r>
        <w:rPr>
          <w:vertAlign w:val="subscript"/>
        </w:rPr>
        <w:t xml:space="preserve">2 </w:t>
      </w:r>
      <w:r>
        <w:t xml:space="preserve">has higher variance across time, it is more feasible to move in the </w:t>
      </w:r>
      <w:r>
        <w:rPr>
          <w:i/>
        </w:rPr>
        <w:t>x</w:t>
      </w:r>
      <w:r>
        <w:rPr>
          <w:vertAlign w:val="subscript"/>
        </w:rPr>
        <w:t xml:space="preserve">2 </w:t>
      </w:r>
      <w:r>
        <w:t xml:space="preserve">dimension. This fact is captured perfectly by the optimal </w:t>
      </w:r>
      <w:proofErr w:type="gramStart"/>
      <w:r>
        <w:t>paths</w:t>
      </w:r>
      <w:proofErr w:type="gramEnd"/>
      <w:r>
        <w:t xml:space="preserve"> algorithm equations (4) and (5) and is depicted by the black line in Figur</w:t>
      </w:r>
      <w:r>
        <w:t xml:space="preserve">e (4). The algorithm takes 13 steps to reach the scoring threshold in score increments of 0.025 units in each </w:t>
      </w:r>
      <w:proofErr w:type="gramStart"/>
      <w:r>
        <w:t>time period</w:t>
      </w:r>
      <w:proofErr w:type="gramEnd"/>
      <w:r>
        <w:t xml:space="preserve">. At each step, it correctly </w:t>
      </w:r>
      <w:proofErr w:type="spellStart"/>
      <w:r>
        <w:t>favors</w:t>
      </w:r>
      <w:proofErr w:type="spellEnd"/>
      <w:r>
        <w:t xml:space="preserve"> larger steps in the </w:t>
      </w:r>
      <w:r>
        <w:rPr>
          <w:i/>
        </w:rPr>
        <w:t>x</w:t>
      </w:r>
      <w:r>
        <w:rPr>
          <w:vertAlign w:val="subscript"/>
        </w:rPr>
        <w:t xml:space="preserve">2 </w:t>
      </w:r>
      <w:r>
        <w:t xml:space="preserve">dimension over the </w:t>
      </w:r>
      <w:r>
        <w:rPr>
          <w:i/>
        </w:rPr>
        <w:t>x</w:t>
      </w:r>
      <w:r>
        <w:rPr>
          <w:vertAlign w:val="subscript"/>
        </w:rPr>
        <w:t xml:space="preserve">1 </w:t>
      </w:r>
      <w:r>
        <w:t>dimension. In terms of Euclidean distance, gradient de</w:t>
      </w:r>
      <w:r>
        <w:t xml:space="preserve">scent certainly converges to the “closest” data point. But this point is highly infeasible to the consumer and represents movement in the </w:t>
      </w:r>
      <w:r>
        <w:rPr>
          <w:i/>
        </w:rPr>
        <w:t>x</w:t>
      </w:r>
      <w:r>
        <w:rPr>
          <w:vertAlign w:val="subscript"/>
        </w:rPr>
        <w:t xml:space="preserve">1 </w:t>
      </w:r>
      <w:r>
        <w:t>dimension that is not likely and potentially not even possible.</w:t>
      </w:r>
    </w:p>
    <w:p w14:paraId="27E29189" w14:textId="77777777" w:rsidR="00460AFF" w:rsidRDefault="00886791">
      <w:pPr>
        <w:spacing w:after="100"/>
        <w:ind w:left="-15" w:right="0"/>
      </w:pPr>
      <w:r>
        <w:t xml:space="preserve">Consider now an example using </w:t>
      </w:r>
      <w:r>
        <w:rPr>
          <w:i/>
        </w:rPr>
        <w:t>X</w:t>
      </w:r>
      <w:r>
        <w:rPr>
          <w:vertAlign w:val="subscript"/>
        </w:rPr>
        <w:t xml:space="preserve">1 </w:t>
      </w:r>
      <w:r>
        <w:t xml:space="preserve">= </w:t>
      </w:r>
      <w:r>
        <w:rPr>
          <w:i/>
        </w:rPr>
        <w:t>number of inquir</w:t>
      </w:r>
      <w:r>
        <w:rPr>
          <w:i/>
        </w:rPr>
        <w:t xml:space="preserve">ies in the last 1 month </w:t>
      </w:r>
      <w:r>
        <w:t xml:space="preserve">and </w:t>
      </w:r>
      <w:r>
        <w:rPr>
          <w:i/>
        </w:rPr>
        <w:t>X</w:t>
      </w:r>
      <w:r>
        <w:rPr>
          <w:vertAlign w:val="subscript"/>
        </w:rPr>
        <w:t xml:space="preserve">2 </w:t>
      </w:r>
      <w:r>
        <w:t xml:space="preserve">= </w:t>
      </w:r>
      <w:r>
        <w:rPr>
          <w:i/>
        </w:rPr>
        <w:t>number of inquiries in the last 12 months</w:t>
      </w:r>
      <w:r>
        <w:t xml:space="preserve">. Let’s consider two consumers. The first consumer, consumer A, has 1 inquiry on file made 12 months ago. The second consumer, consumer B, has 1 inquiry on file made within the last </w:t>
      </w:r>
      <w:r>
        <w:t xml:space="preserve">month. At time </w:t>
      </w:r>
      <w:r>
        <w:rPr>
          <w:i/>
        </w:rPr>
        <w:t xml:space="preserve">t </w:t>
      </w:r>
      <w:r>
        <w:t xml:space="preserve">= 0, consumer A has </w:t>
      </w:r>
      <w:r>
        <w:rPr>
          <w:i/>
        </w:rPr>
        <w:t xml:space="preserve">X~ </w:t>
      </w:r>
      <w:r>
        <w:rPr>
          <w:vertAlign w:val="superscript"/>
        </w:rPr>
        <w:t xml:space="preserve">0 </w:t>
      </w:r>
      <w:r>
        <w:t>= [0</w:t>
      </w:r>
      <w:r>
        <w:rPr>
          <w:i/>
        </w:rPr>
        <w:t>,</w:t>
      </w:r>
      <w:r>
        <w:t>1] and consumer B has</w:t>
      </w:r>
    </w:p>
    <w:p w14:paraId="39F607A4" w14:textId="77777777" w:rsidR="00460AFF" w:rsidRDefault="00886791">
      <w:pPr>
        <w:ind w:left="-15" w:right="0" w:firstLine="0"/>
      </w:pPr>
      <w:r>
        <w:rPr>
          <w:i/>
        </w:rPr>
        <w:t xml:space="preserve">X~ </w:t>
      </w:r>
      <w:r>
        <w:rPr>
          <w:vertAlign w:val="superscript"/>
        </w:rPr>
        <w:t xml:space="preserve">0 </w:t>
      </w:r>
      <w:r>
        <w:t>= [1</w:t>
      </w:r>
      <w:r>
        <w:rPr>
          <w:i/>
        </w:rPr>
        <w:t>,</w:t>
      </w:r>
      <w:r>
        <w:t xml:space="preserve">1]. Figure (6) depicts 95% prediction intervals for the </w:t>
      </w:r>
      <w:proofErr w:type="spellStart"/>
      <w:r>
        <w:rPr>
          <w:i/>
        </w:rPr>
        <w:t>δ</w:t>
      </w:r>
      <w:r>
        <w:t>’s</w:t>
      </w:r>
      <w:proofErr w:type="spellEnd"/>
      <w:r>
        <w:t xml:space="preserve"> of the cluster that each consumer belongs. Consumer A belongs to cluster 25 at time </w:t>
      </w:r>
      <w:r>
        <w:rPr>
          <w:i/>
        </w:rPr>
        <w:t xml:space="preserve">t </w:t>
      </w:r>
      <w:r>
        <w:t xml:space="preserve">= 0. The mean </w:t>
      </w:r>
      <w:r>
        <w:rPr>
          <w:i/>
        </w:rPr>
        <w:t xml:space="preserve">δ </w:t>
      </w:r>
      <w:r>
        <w:t>of cluster 25 i</w:t>
      </w:r>
      <w:r>
        <w:t xml:space="preserve">s depicted by the red star in Figure (6). The mean is approximately the origin, indicating that for this cluster, we do not expect any change in the number of inquiries within the last 1 month and 12 months. However, an inquiry that rolls off the 12-month </w:t>
      </w:r>
      <w:r>
        <w:t xml:space="preserve">file falls within the 95% prediction interval of this cluster. Therefore, a change of </w:t>
      </w:r>
      <w:r>
        <w:rPr>
          <w:i/>
        </w:rPr>
        <w:t xml:space="preserve">δ </w:t>
      </w:r>
      <w:r>
        <w:t>= [</w:t>
      </w:r>
      <w:proofErr w:type="gramStart"/>
      <w:r>
        <w:t>0</w:t>
      </w:r>
      <w:r>
        <w:rPr>
          <w:i/>
        </w:rPr>
        <w:t>,</w:t>
      </w:r>
      <w:r>
        <w:t>−</w:t>
      </w:r>
      <w:proofErr w:type="gramEnd"/>
      <w:r>
        <w:t xml:space="preserve">1] to the new point </w:t>
      </w:r>
      <w:r>
        <w:rPr>
          <w:i/>
        </w:rPr>
        <w:t xml:space="preserve">X~ </w:t>
      </w:r>
      <w:r>
        <w:rPr>
          <w:vertAlign w:val="superscript"/>
        </w:rPr>
        <w:t xml:space="preserve">1 </w:t>
      </w:r>
      <w:r>
        <w:t>= [0</w:t>
      </w:r>
      <w:r>
        <w:rPr>
          <w:i/>
        </w:rPr>
        <w:t>,</w:t>
      </w:r>
      <w:r>
        <w:t>0], indicating no inquiries on the 12-month file, is feasible for consumer A.</w:t>
      </w:r>
    </w:p>
    <w:p w14:paraId="2E8FF45F" w14:textId="77777777" w:rsidR="00460AFF" w:rsidRDefault="00886791">
      <w:pPr>
        <w:ind w:left="-15" w:right="0"/>
      </w:pPr>
      <w:r>
        <w:t>Now, the next consumer, consumer B, belongs to cluster</w:t>
      </w:r>
      <w:r>
        <w:t xml:space="preserve"> 64. The mean is depicted by the blue star and clearly indicates that for this cluster, the number of inquiries in the last month is expected to decrease. However, consumer B can’t move to the new point </w:t>
      </w:r>
      <w:r>
        <w:rPr>
          <w:i/>
        </w:rPr>
        <w:t xml:space="preserve">X~ </w:t>
      </w:r>
      <w:r>
        <w:rPr>
          <w:vertAlign w:val="superscript"/>
        </w:rPr>
        <w:t xml:space="preserve">1 </w:t>
      </w:r>
      <w:r>
        <w:t>= [0</w:t>
      </w:r>
      <w:r>
        <w:rPr>
          <w:i/>
        </w:rPr>
        <w:t>,</w:t>
      </w:r>
      <w:r>
        <w:t xml:space="preserve">0], indicating no inquiries on file, since </w:t>
      </w:r>
      <w:r>
        <w:t xml:space="preserve">this move corresponds to a delta of </w:t>
      </w:r>
      <w:r>
        <w:rPr>
          <w:i/>
        </w:rPr>
        <w:t xml:space="preserve">δ </w:t>
      </w:r>
      <w:r>
        <w:t>= [</w:t>
      </w:r>
      <w:r>
        <w:t>−</w:t>
      </w:r>
      <w:r>
        <w:t>1</w:t>
      </w:r>
      <w:r>
        <w:rPr>
          <w:i/>
        </w:rPr>
        <w:t>,</w:t>
      </w:r>
      <w:r>
        <w:t>−</w:t>
      </w:r>
      <w:r>
        <w:t>1], which falls just outside the 95% prediction interval. If consumer B does not make any new inquiries, then the prediction interval correctly tries to move this consumer to the left towards [0</w:t>
      </w:r>
      <w:r>
        <w:rPr>
          <w:i/>
        </w:rPr>
        <w:t>,</w:t>
      </w:r>
      <w:r>
        <w:t xml:space="preserve">1] with delta </w:t>
      </w:r>
      <w:r>
        <w:rPr>
          <w:i/>
        </w:rPr>
        <w:t xml:space="preserve">δ </w:t>
      </w:r>
      <w:r>
        <w:t>= [</w:t>
      </w:r>
      <w:r>
        <w:t>−</w:t>
      </w:r>
      <w:r>
        <w:t>1</w:t>
      </w:r>
      <w:r>
        <w:rPr>
          <w:i/>
        </w:rPr>
        <w:t>,</w:t>
      </w:r>
      <w:r>
        <w:t xml:space="preserve">0], which falls well inside the prediction interval. </w:t>
      </w:r>
      <w:proofErr w:type="gramStart"/>
      <w:r>
        <w:t>Assuming that</w:t>
      </w:r>
      <w:proofErr w:type="gramEnd"/>
      <w:r>
        <w:t xml:space="preserve"> this delta gives a score increase, this is obviously where the consumer should walk.</w:t>
      </w:r>
    </w:p>
    <w:p w14:paraId="639EB986" w14:textId="77777777" w:rsidR="00460AFF" w:rsidRDefault="00886791">
      <w:pPr>
        <w:spacing w:after="37"/>
        <w:ind w:left="-15" w:right="0"/>
      </w:pPr>
      <w:r>
        <w:t xml:space="preserve">We now turn to a third hypothetical consumer, consumer C. This consumer has 1 inquiry on file made 6 months ago. Therefore </w:t>
      </w:r>
      <w:r>
        <w:rPr>
          <w:i/>
        </w:rPr>
        <w:t xml:space="preserve">X~ </w:t>
      </w:r>
      <w:r>
        <w:rPr>
          <w:vertAlign w:val="superscript"/>
        </w:rPr>
        <w:t xml:space="preserve">0 </w:t>
      </w:r>
      <w:r>
        <w:t>= [0</w:t>
      </w:r>
      <w:r>
        <w:rPr>
          <w:i/>
        </w:rPr>
        <w:t>,</w:t>
      </w:r>
      <w:r>
        <w:t>1] and, assuming no new inquiries in the next few months, will remain at the point [0</w:t>
      </w:r>
      <w:r>
        <w:rPr>
          <w:i/>
        </w:rPr>
        <w:t>,</w:t>
      </w:r>
      <w:r>
        <w:t>1] for 6 more months until that inqui</w:t>
      </w:r>
      <w:r>
        <w:t xml:space="preserve">ry rolls off the file. This example illustrates the need to have a more granular cluster analysis on many different feature measurements over time. In this simplified MVP example where we only consider </w:t>
      </w:r>
      <w:r>
        <w:rPr>
          <w:i/>
        </w:rPr>
        <w:t>X</w:t>
      </w:r>
      <w:r>
        <w:rPr>
          <w:vertAlign w:val="subscript"/>
        </w:rPr>
        <w:t xml:space="preserve">1 </w:t>
      </w:r>
      <w:r>
        <w:t xml:space="preserve">= </w:t>
      </w:r>
      <w:r>
        <w:rPr>
          <w:i/>
        </w:rPr>
        <w:t xml:space="preserve">number of inquiries in the last 1 month </w:t>
      </w:r>
      <w:r>
        <w:t xml:space="preserve">and </w:t>
      </w:r>
      <w:r>
        <w:rPr>
          <w:i/>
        </w:rPr>
        <w:t>X</w:t>
      </w:r>
      <w:r>
        <w:rPr>
          <w:vertAlign w:val="subscript"/>
        </w:rPr>
        <w:t xml:space="preserve">2 </w:t>
      </w:r>
      <w:r>
        <w:t xml:space="preserve">= </w:t>
      </w:r>
      <w:r>
        <w:rPr>
          <w:i/>
        </w:rPr>
        <w:t>number of inquiries in the last 12 months</w:t>
      </w:r>
      <w:r>
        <w:t xml:space="preserve">, we are not able to differentiate consumer A and consumer C. Both start at the point </w:t>
      </w:r>
      <w:r>
        <w:rPr>
          <w:i/>
        </w:rPr>
        <w:t xml:space="preserve">X~ </w:t>
      </w:r>
      <w:r>
        <w:rPr>
          <w:vertAlign w:val="superscript"/>
        </w:rPr>
        <w:t xml:space="preserve">0 </w:t>
      </w:r>
      <w:r>
        <w:t>= [0</w:t>
      </w:r>
      <w:r>
        <w:rPr>
          <w:i/>
        </w:rPr>
        <w:t>,</w:t>
      </w:r>
      <w:r>
        <w:t xml:space="preserve">1] and both are walking towards </w:t>
      </w:r>
      <w:r>
        <w:rPr>
          <w:i/>
        </w:rPr>
        <w:t xml:space="preserve">X~ </w:t>
      </w:r>
      <w:r>
        <w:rPr>
          <w:i/>
          <w:vertAlign w:val="superscript"/>
        </w:rPr>
        <w:t xml:space="preserve">t </w:t>
      </w:r>
      <w:r>
        <w:t>= [0</w:t>
      </w:r>
      <w:r>
        <w:rPr>
          <w:i/>
        </w:rPr>
        <w:t>,</w:t>
      </w:r>
      <w:r>
        <w:t xml:space="preserve">0], assuming no new inquiries on file. However, consumer A will achieve this </w:t>
      </w:r>
      <w:r>
        <w:t xml:space="preserve">point in 1 month while consumer C will take 6 months. If we had included additional features in the cluster analysis to measure </w:t>
      </w:r>
      <w:r>
        <w:rPr>
          <w:i/>
        </w:rPr>
        <w:t>number of inquiries in the last 6 months</w:t>
      </w:r>
      <w:r>
        <w:t xml:space="preserve">, we could differentiate consumer A from C and recommend even better, more feasible, </w:t>
      </w:r>
      <w:proofErr w:type="gramStart"/>
      <w:r>
        <w:t>del</w:t>
      </w:r>
      <w:r>
        <w:t>ta’s</w:t>
      </w:r>
      <w:proofErr w:type="gramEnd"/>
      <w:r>
        <w:t xml:space="preserve"> for each.</w:t>
      </w:r>
    </w:p>
    <w:p w14:paraId="5B4041CA" w14:textId="77777777" w:rsidR="00460AFF" w:rsidRDefault="00886791">
      <w:pPr>
        <w:ind w:left="-15" w:right="0"/>
      </w:pPr>
      <w:r>
        <w:t xml:space="preserve">As a final example, we turn to balance, </w:t>
      </w:r>
      <w:r>
        <w:rPr>
          <w:i/>
        </w:rPr>
        <w:t>X</w:t>
      </w:r>
      <w:r>
        <w:rPr>
          <w:vertAlign w:val="subscript"/>
        </w:rPr>
        <w:t xml:space="preserve">1 </w:t>
      </w:r>
      <w:r>
        <w:t xml:space="preserve">= </w:t>
      </w:r>
      <w:r>
        <w:rPr>
          <w:i/>
        </w:rPr>
        <w:t>Balance on revolving accounts</w:t>
      </w:r>
      <w:r>
        <w:t xml:space="preserve">, and utilization, </w:t>
      </w:r>
      <w:r>
        <w:rPr>
          <w:i/>
        </w:rPr>
        <w:t>X</w:t>
      </w:r>
      <w:r>
        <w:rPr>
          <w:vertAlign w:val="subscript"/>
        </w:rPr>
        <w:t xml:space="preserve">2 </w:t>
      </w:r>
      <w:r>
        <w:t xml:space="preserve">= </w:t>
      </w:r>
      <w:r>
        <w:rPr>
          <w:i/>
        </w:rPr>
        <w:t>Utilization on revolving accounts</w:t>
      </w:r>
      <w:r>
        <w:t>. These features are obviously highly correlated with one another. But across time, some clusters of consumers</w:t>
      </w:r>
      <w:r>
        <w:t xml:space="preserve"> may have high variance while others very low. We </w:t>
      </w:r>
      <w:r>
        <w:lastRenderedPageBreak/>
        <w:t>picked a few clusters and depicted the 95% prediction intervals in Figure (7). As expected, most of the clusters show a positive correlation between changes in balance and utilization. Three of these are de</w:t>
      </w:r>
      <w:r>
        <w:t>picted by the red, brown, and purple ellipsoids. The height of these ellipsoids is tight, indicating the strong correlation. The width of each indicates that only small changes in balance are possible for some clusters while large changes may occur in othe</w:t>
      </w:r>
      <w:r>
        <w:t>rs. The remaining two blue and green ellipsoids are mostly vertical. These represent clusters that either change credit limits, possibly through opening or closing of accounts, or clusters with small credit limits, so that small changes in balance can grea</w:t>
      </w:r>
      <w:r>
        <w:t>tly affect the change in utilization.</w:t>
      </w:r>
    </w:p>
    <w:p w14:paraId="4B28C2BE" w14:textId="77777777" w:rsidR="00460AFF" w:rsidRDefault="00886791">
      <w:pPr>
        <w:spacing w:after="354"/>
        <w:ind w:left="-15" w:right="0"/>
      </w:pPr>
      <w:r>
        <w:t>We now apply the optimal path algorithm of section (3.2) equations (4) and (5) to a consumer and examine the features we have been discussing. The path is depicted in Figure (8) and shows the monthly change of each fea</w:t>
      </w:r>
      <w:r>
        <w:t xml:space="preserve">ture. Each new data point </w:t>
      </w:r>
      <w:r>
        <w:rPr>
          <w:i/>
        </w:rPr>
        <w:t>X</w:t>
      </w:r>
      <w:r>
        <w:rPr>
          <w:i/>
          <w:sz w:val="34"/>
          <w:vertAlign w:val="superscript"/>
        </w:rPr>
        <w:t xml:space="preserve">~ </w:t>
      </w:r>
      <w:r>
        <w:rPr>
          <w:i/>
          <w:vertAlign w:val="superscript"/>
        </w:rPr>
        <w:t>t</w:t>
      </w:r>
      <w:r>
        <w:rPr>
          <w:vertAlign w:val="superscript"/>
        </w:rPr>
        <w:t xml:space="preserve">+1 </w:t>
      </w:r>
      <w:r>
        <w:t xml:space="preserve">minimizes the </w:t>
      </w:r>
      <w:proofErr w:type="spellStart"/>
      <w:r>
        <w:t>Mahalanobis</w:t>
      </w:r>
      <w:proofErr w:type="spellEnd"/>
      <w:r>
        <w:t xml:space="preserve"> distance between </w:t>
      </w:r>
      <w:r>
        <w:rPr>
          <w:i/>
        </w:rPr>
        <w:t>X</w:t>
      </w:r>
      <w:r>
        <w:rPr>
          <w:i/>
          <w:sz w:val="34"/>
          <w:vertAlign w:val="superscript"/>
        </w:rPr>
        <w:t xml:space="preserve">~ </w:t>
      </w:r>
      <w:r>
        <w:rPr>
          <w:i/>
          <w:vertAlign w:val="superscript"/>
        </w:rPr>
        <w:t>t</w:t>
      </w:r>
      <w:r>
        <w:rPr>
          <w:vertAlign w:val="superscript"/>
        </w:rPr>
        <w:t xml:space="preserve">+1 </w:t>
      </w:r>
      <w:r>
        <w:t xml:space="preserve">and </w:t>
      </w:r>
      <w:r>
        <w:rPr>
          <w:i/>
        </w:rPr>
        <w:t>X</w:t>
      </w:r>
      <w:r>
        <w:rPr>
          <w:i/>
          <w:sz w:val="34"/>
          <w:vertAlign w:val="superscript"/>
        </w:rPr>
        <w:t xml:space="preserve">~ </w:t>
      </w:r>
      <w:r>
        <w:rPr>
          <w:i/>
          <w:vertAlign w:val="superscript"/>
        </w:rPr>
        <w:t xml:space="preserve">t </w:t>
      </w:r>
      <w:r>
        <w:t xml:space="preserve">required to achieve a </w:t>
      </w:r>
      <w:proofErr w:type="gramStart"/>
      <w:r>
        <w:t>5 point</w:t>
      </w:r>
      <w:proofErr w:type="gramEnd"/>
      <w:r>
        <w:t xml:space="preserve"> score increase over the previous month. Since this consumer started at </w:t>
      </w:r>
      <w:r>
        <w:rPr>
          <w:i/>
        </w:rPr>
        <w:t xml:space="preserve">number of inquiries in the last month </w:t>
      </w:r>
      <w:r>
        <w:t>= 0, the consumer is reco</w:t>
      </w:r>
      <w:r>
        <w:t>mmended to remain at this value for most months. Near the end of the path, once this consumer has reached a certain threshold, the path does indicate that they might inquire for a new account. We recall for this MVP solution that one assumption was every f</w:t>
      </w:r>
      <w:r>
        <w:t xml:space="preserve">eature was treated as continuous. </w:t>
      </w:r>
      <w:proofErr w:type="gramStart"/>
      <w:r>
        <w:t>This is why</w:t>
      </w:r>
      <w:proofErr w:type="gramEnd"/>
      <w:r>
        <w:t xml:space="preserve"> </w:t>
      </w:r>
      <w:r>
        <w:rPr>
          <w:i/>
        </w:rPr>
        <w:t xml:space="preserve">number of inquiries </w:t>
      </w:r>
      <w:r>
        <w:t xml:space="preserve">is not an integer value, nor has the recommendation crossed a threshold to actually recommend an inquiry. This consumer did start with 1 inquiry in the last 12 months and over the course of </w:t>
      </w:r>
      <w:r>
        <w:t xml:space="preserve">a few months, this inquiry is expected to roll off the 12-month credit file. We also see that revolving account balance and utilization move together, as expected for most consumers. This consumer obviously has a high credit </w:t>
      </w:r>
      <w:proofErr w:type="gramStart"/>
      <w:r>
        <w:t>limit, but</w:t>
      </w:r>
      <w:proofErr w:type="gramEnd"/>
      <w:r>
        <w:t xml:space="preserve"> can greatly improve </w:t>
      </w:r>
      <w:r>
        <w:t>their score by reducing the balance in manageable monthly payments.</w:t>
      </w:r>
    </w:p>
    <w:p w14:paraId="75C3BD20" w14:textId="77777777" w:rsidR="00460AFF" w:rsidRDefault="00886791">
      <w:pPr>
        <w:spacing w:after="102" w:line="259" w:lineRule="auto"/>
        <w:ind w:left="10" w:right="0" w:hanging="10"/>
        <w:jc w:val="center"/>
      </w:pPr>
      <w:r>
        <w:t xml:space="preserve">4. </w:t>
      </w:r>
      <w:r>
        <w:rPr>
          <w:rFonts w:ascii="Calibri" w:eastAsia="Calibri" w:hAnsi="Calibri" w:cs="Calibri"/>
        </w:rPr>
        <w:t>Conclusion</w:t>
      </w:r>
    </w:p>
    <w:p w14:paraId="713B671D" w14:textId="77777777" w:rsidR="00460AFF" w:rsidRDefault="00886791">
      <w:pPr>
        <w:ind w:left="-15" w:right="0"/>
      </w:pPr>
      <w:r>
        <w:t xml:space="preserve">We have detailed an algorithm that provides a feasible path, in </w:t>
      </w:r>
      <w:proofErr w:type="gramStart"/>
      <w:r>
        <w:t>one month</w:t>
      </w:r>
      <w:proofErr w:type="gramEnd"/>
      <w:r>
        <w:t xml:space="preserve"> increments, to optimize a consumer’s credit score. This work innovates by focusing on within-subject</w:t>
      </w:r>
      <w:r>
        <w:t xml:space="preserve"> month-to-month feasibility to ensure that the recommended path not only produces the desired score increase, but</w:t>
      </w:r>
    </w:p>
    <w:p w14:paraId="0EEFB25C" w14:textId="77777777" w:rsidR="00460AFF" w:rsidRDefault="00886791">
      <w:pPr>
        <w:spacing w:after="258" w:line="259" w:lineRule="auto"/>
        <w:ind w:left="2160" w:right="0" w:firstLine="0"/>
        <w:jc w:val="left"/>
      </w:pPr>
      <w:r>
        <w:rPr>
          <w:noProof/>
        </w:rPr>
        <w:drawing>
          <wp:inline distT="0" distB="0" distL="0" distR="0" wp14:anchorId="3770E09F" wp14:editId="26437E62">
            <wp:extent cx="3200400" cy="2286000"/>
            <wp:effectExtent l="0" t="0" r="0" b="0"/>
            <wp:docPr id="1316" name="Picture 1316" descr="Various clusters are depicted showing the relationship between changes in utilization and balance. For certain clusters, utilization may change without a significant change in balance. This is typical of clusters with newly opened or closed accounts, clusters with credit limit increases or decreases, or clusters with low credit limits where small changes in balance represent significant changes in utilization. For most clusters, we see the expected positive correlation between balance and utilization where an increase or decrease in balance corresponds to an increase or decrease in utiliz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316" name="Picture 1316" descr="Various clusters are depicted showing the relationship between changes in utilization and balance. For certain clusters, utilization may change without a significant change in balance. This is typical of clusters with newly opened or closed accounts, clusters with credit limit increases or decreases, or clusters with low credit limits where small changes in balance represent significant changes in utilization. For most clusters, we see the expected positive correlation between balance and utilization where an increase or decrease in balance corresponds to an increase or decrease in utilization.">
                      <a:extLst>
                        <a:ext uri="{C183D7F6-B498-43B3-948B-1728B52AA6E4}">
                          <adec:decorative xmlns:adec="http://schemas.microsoft.com/office/drawing/2017/decorative" val="0"/>
                        </a:ext>
                      </a:extLst>
                    </pic:cNvPr>
                    <pic:cNvPicPr/>
                  </pic:nvPicPr>
                  <pic:blipFill>
                    <a:blip r:embed="rId22"/>
                    <a:stretch>
                      <a:fillRect/>
                    </a:stretch>
                  </pic:blipFill>
                  <pic:spPr>
                    <a:xfrm>
                      <a:off x="0" y="0"/>
                      <a:ext cx="3200400" cy="2286000"/>
                    </a:xfrm>
                    <a:prstGeom prst="rect">
                      <a:avLst/>
                    </a:prstGeom>
                  </pic:spPr>
                </pic:pic>
              </a:graphicData>
            </a:graphic>
          </wp:inline>
        </w:drawing>
      </w:r>
    </w:p>
    <w:p w14:paraId="1C9A196A" w14:textId="77777777" w:rsidR="00460AFF" w:rsidRDefault="00886791">
      <w:pPr>
        <w:ind w:left="717" w:right="717" w:firstLine="0"/>
      </w:pPr>
      <w:r>
        <w:rPr>
          <w:rFonts w:ascii="Calibri" w:eastAsia="Calibri" w:hAnsi="Calibri" w:cs="Calibri"/>
        </w:rPr>
        <w:t xml:space="preserve">Figure 7. </w:t>
      </w:r>
      <w:r>
        <w:t>Various clusters are depicted showing the relationship between changes in utilization and balance. For certain clusters, utilization may change without a significant change in balance. This is typical of clusters with newly opened or closed accounts, clust</w:t>
      </w:r>
      <w:r>
        <w:t xml:space="preserve">ers with credit limit increases or decreases, or clusters with low credit limits where small changes in balance represent significant changes in utilization. For </w:t>
      </w:r>
      <w:r>
        <w:lastRenderedPageBreak/>
        <w:t xml:space="preserve">most clusters, we see the expected positive correlation between balance and utilization where </w:t>
      </w:r>
      <w:r>
        <w:t>an increase or decrease in balance corresponds to an increase or decrease in utilization.</w:t>
      </w:r>
    </w:p>
    <w:p w14:paraId="5ECDAE81" w14:textId="77777777" w:rsidR="00460AFF" w:rsidRDefault="00886791">
      <w:pPr>
        <w:spacing w:after="258" w:line="259" w:lineRule="auto"/>
        <w:ind w:left="1009" w:right="0" w:firstLine="0"/>
        <w:jc w:val="left"/>
      </w:pPr>
      <w:r>
        <w:rPr>
          <w:noProof/>
        </w:rPr>
        <w:drawing>
          <wp:inline distT="0" distB="0" distL="0" distR="0" wp14:anchorId="66FF14C9" wp14:editId="42D6B0F9">
            <wp:extent cx="4662488" cy="3095625"/>
            <wp:effectExtent l="0" t="0" r="0" b="0"/>
            <wp:docPr id="1327" name="Picture 1327" descr="Optimal path for a specific consumer to reach a scoring threshold. The red dot represents this consumer’s starting values at time 0 and each dot is a 1 month increment of changes in the feature space to achieve a 5 point score increase. also that the recommended path is reasonable for that particular consumer. This is in contrast to other “optimal path” algorithms that may only look for the “closest” point in the model development domain that achieves a desired score increase. This work also has advantages over credit score simulators that rely on trial and error “what if” simulations to determine a feasible move that achieves a desired score increase."/>
            <wp:cNvGraphicFramePr/>
            <a:graphic xmlns:a="http://schemas.openxmlformats.org/drawingml/2006/main">
              <a:graphicData uri="http://schemas.openxmlformats.org/drawingml/2006/picture">
                <pic:pic xmlns:pic="http://schemas.openxmlformats.org/drawingml/2006/picture">
                  <pic:nvPicPr>
                    <pic:cNvPr id="1327" name="Picture 1327" descr="Optimal path for a specific consumer to reach a scoring threshold. The red dot represents this consumer’s starting values at time 0 and each dot is a 1 month increment of changes in the feature space to achieve a 5 point score increase. also that the recommended path is reasonable for that particular consumer. This is in contrast to other “optimal path” algorithms that may only look for the “closest” point in the model development domain that achieves a desired score increase. This work also has advantages over credit score simulators that rely on trial and error “what if” simulations to determine a feasible move that achieves a desired score increase."/>
                    <pic:cNvPicPr/>
                  </pic:nvPicPr>
                  <pic:blipFill>
                    <a:blip r:embed="rId23"/>
                    <a:stretch>
                      <a:fillRect/>
                    </a:stretch>
                  </pic:blipFill>
                  <pic:spPr>
                    <a:xfrm>
                      <a:off x="0" y="0"/>
                      <a:ext cx="4662488" cy="3095625"/>
                    </a:xfrm>
                    <a:prstGeom prst="rect">
                      <a:avLst/>
                    </a:prstGeom>
                  </pic:spPr>
                </pic:pic>
              </a:graphicData>
            </a:graphic>
          </wp:inline>
        </w:drawing>
      </w:r>
    </w:p>
    <w:p w14:paraId="13AC7125" w14:textId="77777777" w:rsidR="00460AFF" w:rsidRDefault="00886791">
      <w:pPr>
        <w:ind w:left="717" w:right="717" w:firstLine="0"/>
      </w:pPr>
      <w:r>
        <w:rPr>
          <w:rFonts w:ascii="Calibri" w:eastAsia="Calibri" w:hAnsi="Calibri" w:cs="Calibri"/>
        </w:rPr>
        <w:t xml:space="preserve">Figure 8. </w:t>
      </w:r>
      <w:r>
        <w:t xml:space="preserve">Optimal path for a specific consumer to reach a scoring threshold. The red dot represents this consumer’s starting values at time 0 and each dot is a </w:t>
      </w:r>
      <w:proofErr w:type="gramStart"/>
      <w:r>
        <w:t>1 mo</w:t>
      </w:r>
      <w:r>
        <w:t>nth</w:t>
      </w:r>
      <w:proofErr w:type="gramEnd"/>
      <w:r>
        <w:t xml:space="preserve"> increment of changes in the feature space to achieve a 5 point score increase. </w:t>
      </w:r>
      <w:proofErr w:type="gramStart"/>
      <w:r>
        <w:t>also</w:t>
      </w:r>
      <w:proofErr w:type="gramEnd"/>
      <w:r>
        <w:t xml:space="preserve"> that the recommended path is reasonable for that particular consumer. This </w:t>
      </w:r>
      <w:proofErr w:type="gramStart"/>
      <w:r>
        <w:t>is in contrast to</w:t>
      </w:r>
      <w:proofErr w:type="gramEnd"/>
      <w:r>
        <w:t xml:space="preserve"> other “optimal path” algorithms that may only look for the “closest” point </w:t>
      </w:r>
      <w:r>
        <w:t>in the model development domain that achieves a desired score increase. This work also has advantages over credit score simulators that rely on trial and error “what if” simulations to determine a feasible move that achieves a desired score increase.</w:t>
      </w:r>
    </w:p>
    <w:p w14:paraId="597D4998" w14:textId="77777777" w:rsidR="00460AFF" w:rsidRDefault="00886791">
      <w:pPr>
        <w:ind w:left="-15" w:right="0"/>
      </w:pPr>
      <w:r>
        <w:t>Optim</w:t>
      </w:r>
      <w:r>
        <w:t>al paths provide an additional benefit to the consumer over traditional credit scoring systems. In the U.S., a credit scoring system provides the key factors that negatively impacted a consumer’s score. However, these key factors may not be easily actionab</w:t>
      </w:r>
      <w:r>
        <w:t xml:space="preserve">le to the consumer. We discussed extreme examples of a recent bankruptcy that </w:t>
      </w:r>
      <w:proofErr w:type="spellStart"/>
      <w:r>
        <w:t>can not</w:t>
      </w:r>
      <w:proofErr w:type="spellEnd"/>
      <w:r>
        <w:t xml:space="preserve"> be removed for years. We also discussed more typical examples such as </w:t>
      </w:r>
      <w:r>
        <w:rPr>
          <w:i/>
        </w:rPr>
        <w:t>number of inquiries in the last 12 months</w:t>
      </w:r>
      <w:r>
        <w:t xml:space="preserve">. Consumers who have inquiries about to roll off the </w:t>
      </w:r>
      <w:proofErr w:type="gramStart"/>
      <w:r>
        <w:t>12 mon</w:t>
      </w:r>
      <w:r>
        <w:t>th</w:t>
      </w:r>
      <w:proofErr w:type="gramEnd"/>
      <w:r>
        <w:t xml:space="preserve"> file receive the recommended action of not generating new inquiries on file and letting the old inquiries roll off file. The optimal paths algorithm provides feasible, actionable, and impactful recommendations to the consumer.</w:t>
      </w:r>
    </w:p>
    <w:sectPr w:rsidR="00460AFF">
      <w:footerReference w:type="even" r:id="rId24"/>
      <w:footerReference w:type="default" r:id="rId25"/>
      <w:footerReference w:type="first" r:id="rId26"/>
      <w:pgSz w:w="12240" w:h="15840"/>
      <w:pgMar w:top="1440" w:right="1440" w:bottom="1398" w:left="1440" w:header="72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B8BF8" w14:textId="77777777" w:rsidR="00886791" w:rsidRDefault="00886791">
      <w:pPr>
        <w:spacing w:after="0" w:line="240" w:lineRule="auto"/>
      </w:pPr>
      <w:r>
        <w:separator/>
      </w:r>
    </w:p>
  </w:endnote>
  <w:endnote w:type="continuationSeparator" w:id="0">
    <w:p w14:paraId="78E04325" w14:textId="77777777" w:rsidR="00886791" w:rsidRDefault="0088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EB95F" w14:textId="77777777" w:rsidR="00460AFF" w:rsidRDefault="00886791">
    <w:pPr>
      <w:spacing w:after="0" w:line="259" w:lineRule="auto"/>
      <w:ind w:left="0" w:right="0" w:firstLine="0"/>
      <w:jc w:val="center"/>
    </w:pPr>
    <w:r>
      <w:fldChar w:fldCharType="begin"/>
    </w:r>
    <w:r>
      <w:instrText xml:space="preserve"> PAGE  </w:instrText>
    </w:r>
    <w:r>
      <w:instrText xml:space="preserve"> \* MERGEFORMAT </w:instrText>
    </w:r>
    <w:r>
      <w:fldChar w:fldCharType="separate"/>
    </w:r>
    <w:r>
      <w:rPr>
        <w:sz w:val="16"/>
      </w:rPr>
      <w: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C98C0" w14:textId="77777777" w:rsidR="00460AFF" w:rsidRDefault="00886791">
    <w:pPr>
      <w:spacing w:after="0" w:line="259" w:lineRule="auto"/>
      <w:ind w:left="0" w:right="0"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73241" w14:textId="77777777" w:rsidR="00460AFF" w:rsidRDefault="00886791">
    <w:pPr>
      <w:spacing w:after="0" w:line="259" w:lineRule="auto"/>
      <w:ind w:left="0" w:right="0"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5871F" w14:textId="77777777" w:rsidR="00886791" w:rsidRDefault="00886791">
      <w:pPr>
        <w:spacing w:after="0" w:line="240" w:lineRule="auto"/>
      </w:pPr>
      <w:r>
        <w:separator/>
      </w:r>
    </w:p>
  </w:footnote>
  <w:footnote w:type="continuationSeparator" w:id="0">
    <w:p w14:paraId="0B47A776" w14:textId="77777777" w:rsidR="00886791" w:rsidRDefault="00886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0A2237"/>
    <w:multiLevelType w:val="multilevel"/>
    <w:tmpl w:val="A052E7F0"/>
    <w:lvl w:ilvl="0">
      <w:start w:val="1"/>
      <w:numFmt w:val="decimal"/>
      <w:lvlText w:val="%1."/>
      <w:lvlJc w:val="left"/>
      <w:pPr>
        <w:ind w:left="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3DF53AF"/>
    <w:multiLevelType w:val="hybridMultilevel"/>
    <w:tmpl w:val="6C2E824A"/>
    <w:lvl w:ilvl="0" w:tplc="C36CA314">
      <w:start w:val="1"/>
      <w:numFmt w:val="decimal"/>
      <w:lvlText w:val="(%1)"/>
      <w:lvlJc w:val="left"/>
      <w:pPr>
        <w:ind w:left="8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FA03904">
      <w:start w:val="1"/>
      <w:numFmt w:val="lowerLetter"/>
      <w:lvlText w:val="%2"/>
      <w:lvlJc w:val="left"/>
      <w:pPr>
        <w:ind w:left="15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A7CC12C">
      <w:start w:val="1"/>
      <w:numFmt w:val="lowerRoman"/>
      <w:lvlText w:val="%3"/>
      <w:lvlJc w:val="left"/>
      <w:pPr>
        <w:ind w:left="22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04296FC">
      <w:start w:val="1"/>
      <w:numFmt w:val="decimal"/>
      <w:lvlText w:val="%4"/>
      <w:lvlJc w:val="left"/>
      <w:pPr>
        <w:ind w:left="29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FD67E8C">
      <w:start w:val="1"/>
      <w:numFmt w:val="lowerLetter"/>
      <w:lvlText w:val="%5"/>
      <w:lvlJc w:val="left"/>
      <w:pPr>
        <w:ind w:left="37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FDA4DCE">
      <w:start w:val="1"/>
      <w:numFmt w:val="lowerRoman"/>
      <w:lvlText w:val="%6"/>
      <w:lvlJc w:val="left"/>
      <w:pPr>
        <w:ind w:left="44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674B0E6">
      <w:start w:val="1"/>
      <w:numFmt w:val="decimal"/>
      <w:lvlText w:val="%7"/>
      <w:lvlJc w:val="left"/>
      <w:pPr>
        <w:ind w:left="51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B245122">
      <w:start w:val="1"/>
      <w:numFmt w:val="lowerLetter"/>
      <w:lvlText w:val="%8"/>
      <w:lvlJc w:val="left"/>
      <w:pPr>
        <w:ind w:left="58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A36FB78">
      <w:start w:val="1"/>
      <w:numFmt w:val="lowerRoman"/>
      <w:lvlText w:val="%9"/>
      <w:lvlJc w:val="left"/>
      <w:pPr>
        <w:ind w:left="65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D486039"/>
    <w:multiLevelType w:val="hybridMultilevel"/>
    <w:tmpl w:val="7DB88A24"/>
    <w:lvl w:ilvl="0" w:tplc="28E8C998">
      <w:start w:val="1"/>
      <w:numFmt w:val="decimal"/>
      <w:lvlText w:val="(%1)"/>
      <w:lvlJc w:val="left"/>
      <w:pPr>
        <w:ind w:left="9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CAED3C8">
      <w:start w:val="1"/>
      <w:numFmt w:val="lowerLetter"/>
      <w:lvlText w:val="%2"/>
      <w:lvlJc w:val="left"/>
      <w:pPr>
        <w:ind w:left="15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430C488">
      <w:start w:val="1"/>
      <w:numFmt w:val="lowerRoman"/>
      <w:lvlText w:val="%3"/>
      <w:lvlJc w:val="left"/>
      <w:pPr>
        <w:ind w:left="22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1726C8C">
      <w:start w:val="1"/>
      <w:numFmt w:val="decimal"/>
      <w:lvlText w:val="%4"/>
      <w:lvlJc w:val="left"/>
      <w:pPr>
        <w:ind w:left="29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180A1CE">
      <w:start w:val="1"/>
      <w:numFmt w:val="lowerLetter"/>
      <w:lvlText w:val="%5"/>
      <w:lvlJc w:val="left"/>
      <w:pPr>
        <w:ind w:left="36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64E05F8">
      <w:start w:val="1"/>
      <w:numFmt w:val="lowerRoman"/>
      <w:lvlText w:val="%6"/>
      <w:lvlJc w:val="left"/>
      <w:pPr>
        <w:ind w:left="44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FD2B366">
      <w:start w:val="1"/>
      <w:numFmt w:val="decimal"/>
      <w:lvlText w:val="%7"/>
      <w:lvlJc w:val="left"/>
      <w:pPr>
        <w:ind w:left="51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8B29296">
      <w:start w:val="1"/>
      <w:numFmt w:val="lowerLetter"/>
      <w:lvlText w:val="%8"/>
      <w:lvlJc w:val="left"/>
      <w:pPr>
        <w:ind w:left="58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49C1AF0">
      <w:start w:val="1"/>
      <w:numFmt w:val="lowerRoman"/>
      <w:lvlText w:val="%9"/>
      <w:lvlJc w:val="left"/>
      <w:pPr>
        <w:ind w:left="65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C764C90"/>
    <w:multiLevelType w:val="hybridMultilevel"/>
    <w:tmpl w:val="E4BED816"/>
    <w:lvl w:ilvl="0" w:tplc="4016E5C0">
      <w:start w:val="1"/>
      <w:numFmt w:val="decimal"/>
      <w:lvlText w:val="(%1)"/>
      <w:lvlJc w:val="left"/>
      <w:pPr>
        <w:ind w:left="5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2B02F1C">
      <w:start w:val="1"/>
      <w:numFmt w:val="lowerLetter"/>
      <w:lvlText w:val="%2"/>
      <w:lvlJc w:val="left"/>
      <w:pPr>
        <w:ind w:left="15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878A9A0">
      <w:start w:val="1"/>
      <w:numFmt w:val="lowerRoman"/>
      <w:lvlText w:val="%3"/>
      <w:lvlJc w:val="left"/>
      <w:pPr>
        <w:ind w:left="22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BCA0822">
      <w:start w:val="1"/>
      <w:numFmt w:val="decimal"/>
      <w:lvlText w:val="%4"/>
      <w:lvlJc w:val="left"/>
      <w:pPr>
        <w:ind w:left="29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DEE0718">
      <w:start w:val="1"/>
      <w:numFmt w:val="lowerLetter"/>
      <w:lvlText w:val="%5"/>
      <w:lvlJc w:val="left"/>
      <w:pPr>
        <w:ind w:left="37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45A002E">
      <w:start w:val="1"/>
      <w:numFmt w:val="lowerRoman"/>
      <w:lvlText w:val="%6"/>
      <w:lvlJc w:val="left"/>
      <w:pPr>
        <w:ind w:left="44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3C075B8">
      <w:start w:val="1"/>
      <w:numFmt w:val="decimal"/>
      <w:lvlText w:val="%7"/>
      <w:lvlJc w:val="left"/>
      <w:pPr>
        <w:ind w:left="51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8F84DD2">
      <w:start w:val="1"/>
      <w:numFmt w:val="lowerLetter"/>
      <w:lvlText w:val="%8"/>
      <w:lvlJc w:val="left"/>
      <w:pPr>
        <w:ind w:left="58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E0617C8">
      <w:start w:val="1"/>
      <w:numFmt w:val="lowerRoman"/>
      <w:lvlText w:val="%9"/>
      <w:lvlJc w:val="left"/>
      <w:pPr>
        <w:ind w:left="65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AFF"/>
    <w:rsid w:val="004121AD"/>
    <w:rsid w:val="00460AFF"/>
    <w:rsid w:val="00495DE9"/>
    <w:rsid w:val="00886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365F"/>
  <w15:docId w15:val="{8D0F0F6A-A542-4AB9-9828-282727A3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256" w:right="256" w:firstLine="229"/>
      <w:jc w:val="both"/>
    </w:pPr>
    <w:rPr>
      <w:rFonts w:ascii="Cambria" w:eastAsia="Cambria" w:hAnsi="Cambria" w:cs="Cambria"/>
      <w:color w:val="000000"/>
    </w:rPr>
  </w:style>
  <w:style w:type="paragraph" w:styleId="Heading1">
    <w:name w:val="heading 1"/>
    <w:basedOn w:val="Normal"/>
    <w:next w:val="Normal"/>
    <w:link w:val="Heading1Char"/>
    <w:uiPriority w:val="9"/>
    <w:qFormat/>
    <w:rsid w:val="00495D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DE9"/>
    <w:rPr>
      <w:color w:val="0563C1" w:themeColor="hyperlink"/>
      <w:u w:val="single"/>
    </w:rPr>
  </w:style>
  <w:style w:type="character" w:styleId="UnresolvedMention">
    <w:name w:val="Unresolved Mention"/>
    <w:basedOn w:val="DefaultParagraphFont"/>
    <w:uiPriority w:val="99"/>
    <w:semiHidden/>
    <w:unhideWhenUsed/>
    <w:rsid w:val="00495DE9"/>
    <w:rPr>
      <w:color w:val="605E5C"/>
      <w:shd w:val="clear" w:color="auto" w:fill="E1DFDD"/>
    </w:rPr>
  </w:style>
  <w:style w:type="character" w:customStyle="1" w:styleId="Heading1Char">
    <w:name w:val="Heading 1 Char"/>
    <w:basedOn w:val="DefaultParagraphFont"/>
    <w:link w:val="Heading1"/>
    <w:uiPriority w:val="9"/>
    <w:rsid w:val="00495DE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hyperlink" Target="mailto:matthew.turner@equifax.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g"/><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g"/><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image" Target="media/image15.jpg"/><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ermInfo xmlns="http://schemas.microsoft.com/office/infopath/2007/PartnerControls">
          <TermName xmlns="http://schemas.microsoft.com/office/infopath/2007/PartnerControls">Optimal Paths</TermName>
          <TermId xmlns="http://schemas.microsoft.com/office/infopath/2007/PartnerControls">29b28008-2bf7-4f7e-9545-29a9bf391462</TermId>
        </TermInfo>
      </Terms>
    </TaxKeywordTaxHTField>
    <p74h xmlns="5ed0611f-f2cf-4ffa-84bd-9da84eedf2ae">
      <UserInfo>
        <DisplayName/>
        <AccountId xsi:nil="true"/>
        <AccountType/>
      </UserInfo>
    </p74h>
    <Meeting_x0020_Date xmlns="5ed0611f-f2cf-4ffa-84bd-9da84eedf2ae">01-02-2018</Meeting_x0020_Date>
    <TaxCatchAll xmlns="8dbd49e9-5f06-4ee3-977f-5d3b54b0196f">
      <Value>5</Value>
    </TaxCatchAll>
  </documentManagement>
</p:properties>
</file>

<file path=customXml/itemProps1.xml><?xml version="1.0" encoding="utf-8"?>
<ds:datastoreItem xmlns:ds="http://schemas.openxmlformats.org/officeDocument/2006/customXml" ds:itemID="{EBA54E4E-6341-490C-8433-7B1491F15053}"/>
</file>

<file path=customXml/itemProps2.xml><?xml version="1.0" encoding="utf-8"?>
<ds:datastoreItem xmlns:ds="http://schemas.openxmlformats.org/officeDocument/2006/customXml" ds:itemID="{BFCEE001-A0C6-47D4-8E67-BA1B35CD240B}"/>
</file>

<file path=customXml/itemProps3.xml><?xml version="1.0" encoding="utf-8"?>
<ds:datastoreItem xmlns:ds="http://schemas.openxmlformats.org/officeDocument/2006/customXml" ds:itemID="{8F554EE8-2DD6-4067-849E-A5098E25CF8B}"/>
</file>

<file path=docProps/app.xml><?xml version="1.0" encoding="utf-8"?>
<Properties xmlns="http://schemas.openxmlformats.org/officeDocument/2006/extended-properties" xmlns:vt="http://schemas.openxmlformats.org/officeDocument/2006/docPropsVTypes">
  <Template>Normal</Template>
  <TotalTime>2</TotalTime>
  <Pages>12</Pages>
  <Words>4482</Words>
  <Characters>25553</Characters>
  <Application>Microsoft Office Word</Application>
  <DocSecurity>0</DocSecurity>
  <Lines>212</Lines>
  <Paragraphs>59</Paragraphs>
  <ScaleCrop>false</ScaleCrop>
  <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Optimal Path Planning For Consumer Credit Score Improvement</dc:title>
  <dc:subject>AMS 62P05 Applications to actuarial sciences and financial mathematics; AMS 62M20 Prediction</dc:subject>
  <dc:creator>Matthew Turner et. al</dc:creator>
  <cp:keywords>Optimal Paths</cp:keywords>
  <cp:lastModifiedBy>Jen</cp:lastModifiedBy>
  <cp:revision>3</cp:revision>
  <dcterms:created xsi:type="dcterms:W3CDTF">2020-10-28T16:34:00Z</dcterms:created>
  <dcterms:modified xsi:type="dcterms:W3CDTF">2020-10-28T16:36:00Z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y fmtid="{D5CDD505-2E9C-101B-9397-08002B2CF9AE}" pid="3" name="TaxKeyword">
    <vt:lpwstr>5;#Optimal Paths|29b28008-2bf7-4f7e-9545-29a9bf391462</vt:lpwstr>
  </property>
</Properties>
</file>