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B305D" w14:textId="77777777" w:rsidR="00332BC1" w:rsidRDefault="0013148F">
      <w:pPr>
        <w:ind w:left="-5"/>
      </w:pPr>
      <w:r>
        <w:t>The new guidelines for loan loss reserves, IFRS 9 and CECL, were initially proposed so that lenders' loss reserves would be forward-looking. Some recent studies have suggested that these guidelines could be procyclical, meaning that loss reserves would pea</w:t>
      </w:r>
      <w:r>
        <w:t>k at the peak of an economic crisis potentially creating an associated liquidity crisis. Although better than seeing failure only after it has happened, being required to raise liquidity at the peak of a crisis could still fail to save the lender from coll</w:t>
      </w:r>
      <w:r>
        <w:t xml:space="preserve">apse, or even facilitate it. </w:t>
      </w:r>
    </w:p>
    <w:p w14:paraId="5AAB46CF" w14:textId="77777777" w:rsidR="00332BC1" w:rsidRDefault="0013148F">
      <w:pPr>
        <w:spacing w:line="259" w:lineRule="auto"/>
        <w:ind w:left="0" w:firstLine="0"/>
      </w:pPr>
      <w:r>
        <w:t xml:space="preserve"> </w:t>
      </w:r>
    </w:p>
    <w:p w14:paraId="77C86A1B" w14:textId="77777777" w:rsidR="00332BC1" w:rsidRDefault="0013148F">
      <w:pPr>
        <w:ind w:left="-5"/>
      </w:pPr>
      <w:r>
        <w:t>However, previous procyclicality studies explained all losses with macroeconomic factors, ignoring the changes in credit risk and other portfolio drivers that preceded the recession. The current work tests a wide range of mo</w:t>
      </w:r>
      <w:r>
        <w:t>dels to measure the degree to which CECL is procyclical for different types of models. The tests were also run using either real historical macroeconomic scenarios, flat scenarios, or mean reverting scenarios. All tests were conducted on US mortgage and US</w:t>
      </w:r>
      <w:r>
        <w:t xml:space="preserve"> credit card portfolios through the 2009 recession. </w:t>
      </w:r>
    </w:p>
    <w:p w14:paraId="5E9B9820" w14:textId="77777777" w:rsidR="00332BC1" w:rsidRDefault="0013148F">
      <w:pPr>
        <w:spacing w:line="259" w:lineRule="auto"/>
        <w:ind w:left="0" w:firstLine="0"/>
      </w:pPr>
      <w:r>
        <w:t xml:space="preserve"> </w:t>
      </w:r>
    </w:p>
    <w:p w14:paraId="1227E975" w14:textId="77777777" w:rsidR="00332BC1" w:rsidRDefault="0013148F">
      <w:pPr>
        <w:ind w:left="-5"/>
      </w:pPr>
      <w:r>
        <w:t xml:space="preserve">This study found that the lifetime loss estimates were only marginally sensitive to the quality of the economic scenario but changed dramatically with different </w:t>
      </w:r>
      <w:proofErr w:type="spellStart"/>
      <w:r>
        <w:t>modeling</w:t>
      </w:r>
      <w:proofErr w:type="spellEnd"/>
      <w:r>
        <w:t xml:space="preserve"> techniques. Some methods predic</w:t>
      </w:r>
      <w:r>
        <w:t xml:space="preserve">ted increased loss reserve requirements as early as 2006 while others only saw the recession as it happened or even afterward. Therefore, procyclicality under IFRS 9 and CECL will be strongly influenced by the </w:t>
      </w:r>
      <w:proofErr w:type="spellStart"/>
      <w:r>
        <w:t>modeling</w:t>
      </w:r>
      <w:proofErr w:type="spellEnd"/>
      <w:r>
        <w:t xml:space="preserve"> choices of the lender. </w:t>
      </w:r>
    </w:p>
    <w:p w14:paraId="2033DB36" w14:textId="77777777" w:rsidR="00332BC1" w:rsidRDefault="0013148F">
      <w:pPr>
        <w:spacing w:line="259" w:lineRule="auto"/>
        <w:ind w:left="0" w:firstLine="0"/>
      </w:pPr>
      <w:r>
        <w:t xml:space="preserve"> </w:t>
      </w:r>
    </w:p>
    <w:sectPr w:rsidR="00332BC1">
      <w:pgSz w:w="12240" w:h="15840"/>
      <w:pgMar w:top="1440" w:right="149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C1"/>
    <w:rsid w:val="0013148F"/>
    <w:rsid w:val="00332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A75F"/>
  <w15:docId w15:val="{07E95339-C297-40EB-874A-A00ECDDD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564AEC01-3405-4FEB-8685-330F3E1DE0E1}">
  <ds:schemaRefs>
    <ds:schemaRef ds:uri="http://schemas.openxmlformats.org/officeDocument/2006/bibliography"/>
  </ds:schemaRefs>
</ds:datastoreItem>
</file>

<file path=customXml/itemProps2.xml><?xml version="1.0" encoding="utf-8"?>
<ds:datastoreItem xmlns:ds="http://schemas.openxmlformats.org/officeDocument/2006/customXml" ds:itemID="{080596E9-4B3A-485C-88B3-D6C6783AC948}"/>
</file>

<file path=customXml/itemProps3.xml><?xml version="1.0" encoding="utf-8"?>
<ds:datastoreItem xmlns:ds="http://schemas.openxmlformats.org/officeDocument/2006/customXml" ds:itemID="{ADE9C27E-52C7-4772-AB21-1A08A6F83161}"/>
</file>

<file path=customXml/itemProps4.xml><?xml version="1.0" encoding="utf-8"?>
<ds:datastoreItem xmlns:ds="http://schemas.openxmlformats.org/officeDocument/2006/customXml" ds:itemID="{27F64CB8-E3E6-400F-ACC7-CD3CEDF62AE8}"/>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 Breeden</dc:creator>
  <cp:keywords/>
  <cp:lastModifiedBy>Jen</cp:lastModifiedBy>
  <cp:revision>2</cp:revision>
  <dcterms:created xsi:type="dcterms:W3CDTF">2020-10-28T12:45:00Z</dcterms:created>
  <dcterms:modified xsi:type="dcterms:W3CDTF">2020-10-28T12:45:00Z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